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89" w:rsidRPr="00ED7B89" w:rsidRDefault="00ED7B89" w:rsidP="00ED7B89">
      <w:pPr>
        <w:jc w:val="right"/>
        <w:rPr>
          <w:b/>
          <w:sz w:val="24"/>
          <w:szCs w:val="24"/>
          <w:u w:val="single"/>
        </w:rPr>
      </w:pPr>
    </w:p>
    <w:p w:rsidR="00ED7B89" w:rsidRPr="00ED7B89" w:rsidRDefault="00ED7B89" w:rsidP="00ED7B89">
      <w:pPr>
        <w:rPr>
          <w:sz w:val="24"/>
          <w:szCs w:val="24"/>
        </w:rPr>
      </w:pPr>
    </w:p>
    <w:p w:rsidR="00ED7B89" w:rsidRPr="00ED7B89" w:rsidRDefault="003D2435" w:rsidP="00ED7B89">
      <w:pPr>
        <w:rPr>
          <w:sz w:val="24"/>
          <w:szCs w:val="24"/>
        </w:rPr>
      </w:pPr>
      <w:r>
        <w:rPr>
          <w:sz w:val="24"/>
          <w:szCs w:val="24"/>
        </w:rPr>
        <w:t>October</w:t>
      </w:r>
      <w:r w:rsidR="00B27E21">
        <w:rPr>
          <w:sz w:val="24"/>
          <w:szCs w:val="24"/>
        </w:rPr>
        <w:t xml:space="preserve"> 22</w:t>
      </w:r>
      <w:r w:rsidR="00ED7B89" w:rsidRPr="00ED7B89">
        <w:rPr>
          <w:sz w:val="24"/>
          <w:szCs w:val="24"/>
        </w:rPr>
        <w:t>, 2018</w:t>
      </w:r>
    </w:p>
    <w:p w:rsidR="00ED7B89" w:rsidRPr="00ED7B89" w:rsidRDefault="00ED7B89" w:rsidP="00ED7B89">
      <w:pPr>
        <w:rPr>
          <w:sz w:val="24"/>
          <w:szCs w:val="24"/>
        </w:rPr>
      </w:pPr>
    </w:p>
    <w:p w:rsidR="00ED7B89" w:rsidRPr="00ED7B89" w:rsidRDefault="00ED7B89" w:rsidP="00ED7B89">
      <w:pPr>
        <w:rPr>
          <w:sz w:val="24"/>
          <w:szCs w:val="24"/>
        </w:rPr>
      </w:pPr>
      <w:r w:rsidRPr="00ED7B89">
        <w:rPr>
          <w:sz w:val="24"/>
          <w:szCs w:val="24"/>
        </w:rPr>
        <w:t xml:space="preserve">Mr. Barry F. Mardock </w:t>
      </w:r>
    </w:p>
    <w:p w:rsidR="00ED7B89" w:rsidRPr="00ED7B89" w:rsidRDefault="00ED7B89" w:rsidP="00ED7B89">
      <w:pPr>
        <w:rPr>
          <w:sz w:val="24"/>
          <w:szCs w:val="24"/>
        </w:rPr>
      </w:pPr>
      <w:r w:rsidRPr="00ED7B89">
        <w:rPr>
          <w:sz w:val="24"/>
          <w:szCs w:val="24"/>
        </w:rPr>
        <w:t>Deputy Director</w:t>
      </w:r>
    </w:p>
    <w:p w:rsidR="00ED7B89" w:rsidRPr="00ED7B89" w:rsidRDefault="00ED7B89" w:rsidP="00ED7B89">
      <w:pPr>
        <w:rPr>
          <w:sz w:val="24"/>
          <w:szCs w:val="24"/>
        </w:rPr>
      </w:pPr>
      <w:r w:rsidRPr="00ED7B89">
        <w:rPr>
          <w:sz w:val="24"/>
          <w:szCs w:val="24"/>
        </w:rPr>
        <w:t xml:space="preserve">Office of Regulatory Policy </w:t>
      </w:r>
    </w:p>
    <w:p w:rsidR="00ED7B89" w:rsidRPr="00ED7B89" w:rsidRDefault="00ED7B89" w:rsidP="00ED7B89">
      <w:pPr>
        <w:rPr>
          <w:sz w:val="24"/>
          <w:szCs w:val="24"/>
        </w:rPr>
      </w:pPr>
      <w:r w:rsidRPr="00ED7B89">
        <w:rPr>
          <w:sz w:val="24"/>
          <w:szCs w:val="24"/>
        </w:rPr>
        <w:t xml:space="preserve">Farm Credit Administration </w:t>
      </w:r>
    </w:p>
    <w:p w:rsidR="00ED7B89" w:rsidRPr="00ED7B89" w:rsidRDefault="00ED7B89" w:rsidP="00ED7B89">
      <w:pPr>
        <w:rPr>
          <w:sz w:val="24"/>
          <w:szCs w:val="24"/>
        </w:rPr>
      </w:pPr>
      <w:r w:rsidRPr="00ED7B89">
        <w:rPr>
          <w:sz w:val="24"/>
          <w:szCs w:val="24"/>
        </w:rPr>
        <w:t xml:space="preserve">1501 Farm Credit Drive </w:t>
      </w:r>
    </w:p>
    <w:p w:rsidR="00ED7B89" w:rsidRPr="00ED7B89" w:rsidRDefault="00ED7B89" w:rsidP="00ED7B89">
      <w:pPr>
        <w:rPr>
          <w:sz w:val="24"/>
          <w:szCs w:val="24"/>
        </w:rPr>
      </w:pPr>
      <w:r w:rsidRPr="00ED7B89">
        <w:rPr>
          <w:sz w:val="24"/>
          <w:szCs w:val="24"/>
        </w:rPr>
        <w:t>McLean, VA 22102-5090</w:t>
      </w:r>
    </w:p>
    <w:p w:rsidR="00ED7B89" w:rsidRPr="00ED7B89" w:rsidRDefault="00ED7B89" w:rsidP="00ED7B89">
      <w:pPr>
        <w:rPr>
          <w:sz w:val="24"/>
          <w:szCs w:val="24"/>
        </w:rPr>
      </w:pPr>
    </w:p>
    <w:p w:rsidR="00ED7B89" w:rsidRPr="00ED7B89" w:rsidRDefault="00ED7B89" w:rsidP="00ED7B89">
      <w:pPr>
        <w:ind w:left="450" w:hanging="450"/>
        <w:rPr>
          <w:sz w:val="24"/>
          <w:szCs w:val="24"/>
        </w:rPr>
      </w:pPr>
      <w:r w:rsidRPr="00ED7B89">
        <w:rPr>
          <w:sz w:val="24"/>
          <w:szCs w:val="24"/>
        </w:rPr>
        <w:t>RE:</w:t>
      </w:r>
      <w:r w:rsidRPr="00ED7B89">
        <w:rPr>
          <w:sz w:val="24"/>
          <w:szCs w:val="24"/>
        </w:rPr>
        <w:tab/>
        <w:t xml:space="preserve">Proposed Rule on </w:t>
      </w:r>
      <w:r w:rsidR="003D2435">
        <w:rPr>
          <w:sz w:val="24"/>
          <w:szCs w:val="24"/>
        </w:rPr>
        <w:t>Eligibility Criteria for Outside Directors</w:t>
      </w:r>
      <w:r w:rsidRPr="00ED7B89">
        <w:rPr>
          <w:sz w:val="24"/>
          <w:szCs w:val="24"/>
        </w:rPr>
        <w:t xml:space="preserve"> – RIN 3052-AC</w:t>
      </w:r>
      <w:r w:rsidR="003D2435">
        <w:rPr>
          <w:sz w:val="24"/>
          <w:szCs w:val="24"/>
        </w:rPr>
        <w:t>97</w:t>
      </w:r>
      <w:r w:rsidRPr="00ED7B89">
        <w:rPr>
          <w:sz w:val="24"/>
          <w:szCs w:val="24"/>
        </w:rPr>
        <w:t xml:space="preserve"> / </w:t>
      </w:r>
      <w:r w:rsidRPr="00ED7B89">
        <w:rPr>
          <w:i/>
          <w:sz w:val="24"/>
          <w:szCs w:val="24"/>
        </w:rPr>
        <w:t>Federal Register</w:t>
      </w:r>
      <w:r w:rsidRPr="00ED7B89">
        <w:rPr>
          <w:sz w:val="24"/>
          <w:szCs w:val="24"/>
        </w:rPr>
        <w:t xml:space="preserve"> 83 (</w:t>
      </w:r>
      <w:r w:rsidR="00B85F3F">
        <w:rPr>
          <w:sz w:val="24"/>
          <w:szCs w:val="24"/>
        </w:rPr>
        <w:t>August 24</w:t>
      </w:r>
      <w:r w:rsidRPr="00ED7B89">
        <w:rPr>
          <w:sz w:val="24"/>
          <w:szCs w:val="24"/>
        </w:rPr>
        <w:t>, 2018)</w:t>
      </w:r>
    </w:p>
    <w:p w:rsidR="00ED7B89" w:rsidRPr="00ED7B89" w:rsidRDefault="00ED7B89" w:rsidP="00ED7B89">
      <w:pPr>
        <w:ind w:left="450" w:hanging="450"/>
        <w:rPr>
          <w:sz w:val="24"/>
          <w:szCs w:val="24"/>
        </w:rPr>
      </w:pPr>
    </w:p>
    <w:p w:rsidR="00ED7B89" w:rsidRPr="00ED7B89" w:rsidRDefault="00ED7B89" w:rsidP="00ED7B89">
      <w:pPr>
        <w:jc w:val="both"/>
        <w:rPr>
          <w:sz w:val="24"/>
          <w:szCs w:val="24"/>
        </w:rPr>
      </w:pPr>
      <w:r w:rsidRPr="00ED7B89">
        <w:rPr>
          <w:sz w:val="24"/>
          <w:szCs w:val="24"/>
        </w:rPr>
        <w:t>Dear Mr.</w:t>
      </w:r>
      <w:r>
        <w:rPr>
          <w:sz w:val="24"/>
          <w:szCs w:val="24"/>
        </w:rPr>
        <w:t xml:space="preserve"> </w:t>
      </w:r>
      <w:r w:rsidRPr="00ED7B89">
        <w:rPr>
          <w:sz w:val="24"/>
          <w:szCs w:val="24"/>
        </w:rPr>
        <w:t xml:space="preserve">Mardock:  </w:t>
      </w:r>
    </w:p>
    <w:p w:rsidR="00ED7B89" w:rsidRPr="00ED7B89" w:rsidRDefault="00ED7B89" w:rsidP="00ED7B89">
      <w:pPr>
        <w:jc w:val="both"/>
        <w:rPr>
          <w:sz w:val="24"/>
          <w:szCs w:val="24"/>
        </w:rPr>
      </w:pPr>
    </w:p>
    <w:p w:rsidR="00F238F2" w:rsidRDefault="003F16B2" w:rsidP="00F238F2">
      <w:pPr>
        <w:jc w:val="both"/>
        <w:rPr>
          <w:sz w:val="24"/>
          <w:szCs w:val="24"/>
        </w:rPr>
      </w:pPr>
      <w:r>
        <w:rPr>
          <w:sz w:val="24"/>
          <w:szCs w:val="24"/>
        </w:rPr>
        <w:t>F</w:t>
      </w:r>
      <w:r w:rsidR="00BD4E00">
        <w:rPr>
          <w:sz w:val="24"/>
          <w:szCs w:val="24"/>
        </w:rPr>
        <w:t>arm Credit West</w:t>
      </w:r>
      <w:r w:rsidR="00BA7A1A">
        <w:rPr>
          <w:sz w:val="24"/>
          <w:szCs w:val="24"/>
        </w:rPr>
        <w:t xml:space="preserve"> (“FCW”)</w:t>
      </w:r>
      <w:r w:rsidR="00ED7B89" w:rsidRPr="00ED7B89">
        <w:rPr>
          <w:sz w:val="24"/>
          <w:szCs w:val="24"/>
        </w:rPr>
        <w:t xml:space="preserve"> appreciates the opportunity to provide comments on the Farm Credit Administration’s (“FCA”) proposed rule regarding</w:t>
      </w:r>
      <w:r w:rsidR="003D2435">
        <w:rPr>
          <w:sz w:val="24"/>
          <w:szCs w:val="24"/>
        </w:rPr>
        <w:t xml:space="preserve"> eligibility criteria for outside d</w:t>
      </w:r>
      <w:r w:rsidR="003D2435" w:rsidRPr="003D2435">
        <w:rPr>
          <w:sz w:val="24"/>
          <w:szCs w:val="24"/>
        </w:rPr>
        <w:t>irectors</w:t>
      </w:r>
      <w:r w:rsidR="003D2435">
        <w:rPr>
          <w:sz w:val="24"/>
          <w:szCs w:val="24"/>
        </w:rPr>
        <w:t xml:space="preserve">. </w:t>
      </w:r>
      <w:r w:rsidR="00ED7B89" w:rsidRPr="003D2435">
        <w:rPr>
          <w:sz w:val="24"/>
          <w:szCs w:val="24"/>
        </w:rPr>
        <w:t xml:space="preserve"> </w:t>
      </w:r>
      <w:r w:rsidR="00ED7B89" w:rsidRPr="00ED7B89">
        <w:rPr>
          <w:sz w:val="24"/>
          <w:szCs w:val="24"/>
        </w:rPr>
        <w:t xml:space="preserve">We support </w:t>
      </w:r>
      <w:r w:rsidR="00FA4C21">
        <w:rPr>
          <w:sz w:val="24"/>
          <w:szCs w:val="24"/>
        </w:rPr>
        <w:t>independence</w:t>
      </w:r>
      <w:r w:rsidR="003D2435">
        <w:rPr>
          <w:sz w:val="24"/>
          <w:szCs w:val="24"/>
        </w:rPr>
        <w:t xml:space="preserve"> for outside directors</w:t>
      </w:r>
      <w:r w:rsidR="00C644C6">
        <w:rPr>
          <w:sz w:val="24"/>
          <w:szCs w:val="24"/>
        </w:rPr>
        <w:t xml:space="preserve"> and </w:t>
      </w:r>
      <w:r w:rsidR="00F238F2">
        <w:rPr>
          <w:sz w:val="24"/>
          <w:szCs w:val="24"/>
        </w:rPr>
        <w:t>a strong program to identify and select well qualified candidates for outside director positions</w:t>
      </w:r>
      <w:r w:rsidR="00ED7B89" w:rsidRPr="00ED7B89">
        <w:rPr>
          <w:sz w:val="24"/>
          <w:szCs w:val="24"/>
        </w:rPr>
        <w:t>; however,</w:t>
      </w:r>
      <w:r w:rsidR="00151606">
        <w:rPr>
          <w:sz w:val="24"/>
          <w:szCs w:val="24"/>
        </w:rPr>
        <w:t xml:space="preserve"> </w:t>
      </w:r>
      <w:r w:rsidR="00183041">
        <w:rPr>
          <w:sz w:val="24"/>
          <w:szCs w:val="24"/>
        </w:rPr>
        <w:t xml:space="preserve">as detailed below, </w:t>
      </w:r>
      <w:r w:rsidR="008A1DFB">
        <w:rPr>
          <w:sz w:val="24"/>
          <w:szCs w:val="24"/>
        </w:rPr>
        <w:t xml:space="preserve">we believe </w:t>
      </w:r>
      <w:r w:rsidR="00F238F2">
        <w:rPr>
          <w:sz w:val="24"/>
          <w:szCs w:val="24"/>
        </w:rPr>
        <w:t>the restrictions imposed by the proposed r</w:t>
      </w:r>
      <w:r w:rsidR="00F238F2" w:rsidRPr="00F238F2">
        <w:rPr>
          <w:sz w:val="24"/>
          <w:szCs w:val="24"/>
        </w:rPr>
        <w:t xml:space="preserve">ule will have a very serious, negative impact on the System’s ability to attract otherwise eligible, excellent candidates for outside director seats </w:t>
      </w:r>
      <w:r w:rsidR="001927E2">
        <w:rPr>
          <w:sz w:val="24"/>
          <w:szCs w:val="24"/>
        </w:rPr>
        <w:t>and accordingly urge FCA</w:t>
      </w:r>
      <w:r w:rsidR="00F238F2">
        <w:rPr>
          <w:sz w:val="24"/>
          <w:szCs w:val="24"/>
        </w:rPr>
        <w:t xml:space="preserve"> to withdraw the proposed rule. </w:t>
      </w:r>
    </w:p>
    <w:p w:rsidR="00BC1AB9" w:rsidRPr="00ED7B89" w:rsidRDefault="00BC1AB9" w:rsidP="00ED7B89">
      <w:pPr>
        <w:jc w:val="both"/>
        <w:rPr>
          <w:sz w:val="24"/>
          <w:szCs w:val="24"/>
        </w:rPr>
      </w:pPr>
    </w:p>
    <w:p w:rsidR="00ED7B89" w:rsidRPr="00ED7B89" w:rsidRDefault="003F16B2" w:rsidP="00ED7B89">
      <w:pPr>
        <w:jc w:val="both"/>
        <w:rPr>
          <w:sz w:val="24"/>
          <w:szCs w:val="24"/>
        </w:rPr>
      </w:pPr>
      <w:r>
        <w:rPr>
          <w:sz w:val="24"/>
          <w:szCs w:val="24"/>
        </w:rPr>
        <w:t>FCW</w:t>
      </w:r>
      <w:r w:rsidR="00ED7B89" w:rsidRPr="00ED7B89">
        <w:rPr>
          <w:sz w:val="24"/>
          <w:szCs w:val="24"/>
        </w:rPr>
        <w:t>’s concerns are detailed below. We believe the principles on which our concerns are based are shared by a significant number of other System associations as will be reflected in comment letters submitted by other associations.  We request that FCA carefully consider all of these comments.  In addition, we strongly support the comments submitted by the Farm Credit Council as they reflect the consensus views of the entire Farm Credit System on this important matter.</w:t>
      </w:r>
    </w:p>
    <w:p w:rsidR="00ED7B89" w:rsidRDefault="00ED7B89" w:rsidP="00ED7B89">
      <w:pPr>
        <w:jc w:val="both"/>
        <w:rPr>
          <w:sz w:val="24"/>
          <w:szCs w:val="24"/>
        </w:rPr>
      </w:pPr>
    </w:p>
    <w:p w:rsidR="00ED7B89" w:rsidRPr="00ED7B89" w:rsidRDefault="00ED7B89" w:rsidP="00ED7B89">
      <w:pPr>
        <w:jc w:val="both"/>
        <w:rPr>
          <w:sz w:val="24"/>
          <w:szCs w:val="24"/>
        </w:rPr>
      </w:pPr>
    </w:p>
    <w:p w:rsidR="00ED7B89" w:rsidRDefault="00ED7B89" w:rsidP="00ED7B89">
      <w:pPr>
        <w:jc w:val="center"/>
        <w:rPr>
          <w:b/>
          <w:sz w:val="24"/>
          <w:szCs w:val="24"/>
          <w:u w:val="single"/>
        </w:rPr>
      </w:pPr>
      <w:r w:rsidRPr="00ED7B89">
        <w:rPr>
          <w:b/>
          <w:sz w:val="24"/>
          <w:szCs w:val="24"/>
          <w:u w:val="single"/>
        </w:rPr>
        <w:t>Overall Comments</w:t>
      </w:r>
    </w:p>
    <w:p w:rsidR="00183041" w:rsidRDefault="00183041" w:rsidP="00183041">
      <w:pPr>
        <w:jc w:val="both"/>
        <w:rPr>
          <w:sz w:val="24"/>
          <w:szCs w:val="24"/>
        </w:rPr>
      </w:pPr>
    </w:p>
    <w:p w:rsidR="00C3730C" w:rsidRDefault="00183041" w:rsidP="00183041">
      <w:pPr>
        <w:jc w:val="both"/>
        <w:rPr>
          <w:sz w:val="24"/>
          <w:szCs w:val="24"/>
        </w:rPr>
      </w:pPr>
      <w:r>
        <w:rPr>
          <w:sz w:val="24"/>
          <w:szCs w:val="24"/>
        </w:rPr>
        <w:t xml:space="preserve">FCW </w:t>
      </w:r>
      <w:r w:rsidR="00C644C6">
        <w:rPr>
          <w:sz w:val="24"/>
          <w:szCs w:val="24"/>
        </w:rPr>
        <w:t>believe</w:t>
      </w:r>
      <w:r w:rsidR="004E4DE0">
        <w:rPr>
          <w:sz w:val="24"/>
          <w:szCs w:val="24"/>
        </w:rPr>
        <w:t>s</w:t>
      </w:r>
      <w:r w:rsidR="00C644C6">
        <w:rPr>
          <w:sz w:val="24"/>
          <w:szCs w:val="24"/>
        </w:rPr>
        <w:t xml:space="preserve"> </w:t>
      </w:r>
      <w:r>
        <w:rPr>
          <w:sz w:val="24"/>
          <w:szCs w:val="24"/>
        </w:rPr>
        <w:t xml:space="preserve">the Farm Credit Act </w:t>
      </w:r>
      <w:r w:rsidRPr="001F633B">
        <w:rPr>
          <w:sz w:val="24"/>
          <w:szCs w:val="24"/>
        </w:rPr>
        <w:t xml:space="preserve">is clear and unambiguous as to </w:t>
      </w:r>
      <w:r>
        <w:rPr>
          <w:sz w:val="24"/>
          <w:szCs w:val="24"/>
        </w:rPr>
        <w:t xml:space="preserve">outside </w:t>
      </w:r>
      <w:r w:rsidRPr="001F633B">
        <w:rPr>
          <w:sz w:val="24"/>
          <w:szCs w:val="24"/>
        </w:rPr>
        <w:t>director qualifications</w:t>
      </w:r>
      <w:r>
        <w:rPr>
          <w:sz w:val="24"/>
          <w:szCs w:val="24"/>
        </w:rPr>
        <w:t xml:space="preserve"> and </w:t>
      </w:r>
      <w:r w:rsidR="00F238F2">
        <w:rPr>
          <w:sz w:val="24"/>
          <w:szCs w:val="24"/>
        </w:rPr>
        <w:t xml:space="preserve">as such, </w:t>
      </w:r>
      <w:r w:rsidR="00C644C6">
        <w:rPr>
          <w:sz w:val="24"/>
          <w:szCs w:val="24"/>
        </w:rPr>
        <w:t xml:space="preserve">FCA has </w:t>
      </w:r>
      <w:r>
        <w:rPr>
          <w:sz w:val="24"/>
          <w:szCs w:val="24"/>
        </w:rPr>
        <w:t xml:space="preserve">no </w:t>
      </w:r>
      <w:r w:rsidR="00C644C6">
        <w:rPr>
          <w:sz w:val="24"/>
          <w:szCs w:val="24"/>
        </w:rPr>
        <w:t>authority</w:t>
      </w:r>
      <w:r w:rsidR="008A1DFB">
        <w:rPr>
          <w:sz w:val="24"/>
          <w:szCs w:val="24"/>
        </w:rPr>
        <w:t xml:space="preserve"> to impose additional </w:t>
      </w:r>
      <w:r>
        <w:rPr>
          <w:sz w:val="24"/>
          <w:szCs w:val="24"/>
        </w:rPr>
        <w:t xml:space="preserve">eligibility </w:t>
      </w:r>
      <w:r w:rsidR="008A1DFB">
        <w:rPr>
          <w:sz w:val="24"/>
          <w:szCs w:val="24"/>
        </w:rPr>
        <w:t>restrictions</w:t>
      </w:r>
      <w:r>
        <w:rPr>
          <w:sz w:val="24"/>
          <w:szCs w:val="24"/>
        </w:rPr>
        <w:t xml:space="preserve">. </w:t>
      </w:r>
      <w:r w:rsidR="008A1DFB">
        <w:rPr>
          <w:sz w:val="24"/>
          <w:szCs w:val="24"/>
        </w:rPr>
        <w:t xml:space="preserve">The </w:t>
      </w:r>
      <w:r w:rsidR="00C644C6">
        <w:rPr>
          <w:sz w:val="24"/>
          <w:szCs w:val="24"/>
        </w:rPr>
        <w:t>1987 Amend</w:t>
      </w:r>
      <w:r w:rsidR="008A1DFB">
        <w:rPr>
          <w:sz w:val="24"/>
          <w:szCs w:val="24"/>
        </w:rPr>
        <w:t>ments to the Farm Credit Act mak</w:t>
      </w:r>
      <w:r w:rsidR="00C644C6">
        <w:rPr>
          <w:sz w:val="24"/>
          <w:szCs w:val="24"/>
        </w:rPr>
        <w:t>e clear that the boards, be determined “in such manner and with such qualifications as may be required by the bylaws”</w:t>
      </w:r>
      <w:r w:rsidR="00B85F3F">
        <w:rPr>
          <w:sz w:val="24"/>
          <w:szCs w:val="24"/>
        </w:rPr>
        <w:t>,</w:t>
      </w:r>
      <w:r w:rsidR="00C644C6">
        <w:rPr>
          <w:sz w:val="24"/>
          <w:szCs w:val="24"/>
        </w:rPr>
        <w:t xml:space="preserve"> and that FCA has no authority to direct or approve these bylaws. </w:t>
      </w:r>
      <w:r w:rsidR="004E4DE0">
        <w:rPr>
          <w:sz w:val="24"/>
          <w:szCs w:val="24"/>
        </w:rPr>
        <w:t>Despite this, FCA nonetheless adopted eligibility requirements for outside directors</w:t>
      </w:r>
      <w:r w:rsidR="00F238F2">
        <w:rPr>
          <w:sz w:val="24"/>
          <w:szCs w:val="24"/>
        </w:rPr>
        <w:t xml:space="preserve"> in 2006</w:t>
      </w:r>
      <w:r w:rsidR="004E4DE0">
        <w:rPr>
          <w:sz w:val="24"/>
          <w:szCs w:val="24"/>
        </w:rPr>
        <w:t xml:space="preserve">. While we question FCA’s authority to do so, FCW believes the </w:t>
      </w:r>
      <w:r>
        <w:rPr>
          <w:sz w:val="24"/>
          <w:szCs w:val="24"/>
        </w:rPr>
        <w:t xml:space="preserve">current regulations for outside directors </w:t>
      </w:r>
      <w:r w:rsidR="00C3730C">
        <w:rPr>
          <w:sz w:val="24"/>
          <w:szCs w:val="24"/>
        </w:rPr>
        <w:t xml:space="preserve">along with the standards of conduct review process </w:t>
      </w:r>
      <w:r>
        <w:rPr>
          <w:sz w:val="24"/>
          <w:szCs w:val="24"/>
        </w:rPr>
        <w:t xml:space="preserve">have worked well to ensure outside director independence and that any potential conflicts of interest are properly vetted. </w:t>
      </w:r>
      <w:r w:rsidR="00BC1AB9">
        <w:rPr>
          <w:sz w:val="24"/>
          <w:szCs w:val="24"/>
        </w:rPr>
        <w:t>This current approac</w:t>
      </w:r>
      <w:r w:rsidR="00431651">
        <w:rPr>
          <w:sz w:val="24"/>
          <w:szCs w:val="24"/>
        </w:rPr>
        <w:t>h is consistent with FCA’s Book</w:t>
      </w:r>
      <w:r w:rsidR="00BC1AB9">
        <w:rPr>
          <w:sz w:val="24"/>
          <w:szCs w:val="24"/>
        </w:rPr>
        <w:t xml:space="preserve">letter 009, </w:t>
      </w:r>
      <w:r w:rsidR="00431651">
        <w:rPr>
          <w:sz w:val="24"/>
          <w:szCs w:val="24"/>
        </w:rPr>
        <w:t xml:space="preserve">in </w:t>
      </w:r>
      <w:r w:rsidR="00BC1AB9">
        <w:rPr>
          <w:sz w:val="24"/>
          <w:szCs w:val="24"/>
        </w:rPr>
        <w:t xml:space="preserve">which FCA recognizes that outside directors must comply with the same regulatory requirements, including standards of conduct, as elected directors. </w:t>
      </w:r>
      <w:r w:rsidR="00B85F3F">
        <w:rPr>
          <w:sz w:val="24"/>
          <w:szCs w:val="24"/>
        </w:rPr>
        <w:t xml:space="preserve">As such, </w:t>
      </w:r>
      <w:r w:rsidR="00C3730C" w:rsidRPr="00C3730C">
        <w:rPr>
          <w:sz w:val="24"/>
          <w:szCs w:val="24"/>
        </w:rPr>
        <w:t>FCW believes the current regulations should be retained a</w:t>
      </w:r>
      <w:r w:rsidR="00BD4E00">
        <w:rPr>
          <w:sz w:val="24"/>
          <w:szCs w:val="24"/>
        </w:rPr>
        <w:t>s is and urges FCA to withdraw</w:t>
      </w:r>
      <w:r w:rsidR="00C3730C" w:rsidRPr="00C3730C">
        <w:rPr>
          <w:sz w:val="24"/>
          <w:szCs w:val="24"/>
        </w:rPr>
        <w:t xml:space="preserve"> the proposed rule.</w:t>
      </w:r>
    </w:p>
    <w:p w:rsidR="00C3730C" w:rsidRDefault="00C3730C" w:rsidP="00183041">
      <w:pPr>
        <w:jc w:val="both"/>
        <w:rPr>
          <w:sz w:val="24"/>
          <w:szCs w:val="24"/>
        </w:rPr>
      </w:pPr>
    </w:p>
    <w:p w:rsidR="00183041" w:rsidRPr="00ED7B89" w:rsidRDefault="00183041" w:rsidP="00183041">
      <w:pPr>
        <w:jc w:val="both"/>
        <w:rPr>
          <w:sz w:val="24"/>
          <w:szCs w:val="24"/>
        </w:rPr>
      </w:pPr>
      <w:r>
        <w:rPr>
          <w:sz w:val="24"/>
          <w:szCs w:val="24"/>
        </w:rPr>
        <w:t>The propose</w:t>
      </w:r>
      <w:r w:rsidR="00BC1AB9">
        <w:rPr>
          <w:sz w:val="24"/>
          <w:szCs w:val="24"/>
        </w:rPr>
        <w:t>d</w:t>
      </w:r>
      <w:r>
        <w:rPr>
          <w:sz w:val="24"/>
          <w:szCs w:val="24"/>
        </w:rPr>
        <w:t xml:space="preserve"> rule will do more harm than good by unnecessarily depleting the pool of qualified outside direc</w:t>
      </w:r>
      <w:r w:rsidR="00BC1AB9">
        <w:rPr>
          <w:sz w:val="24"/>
          <w:szCs w:val="24"/>
        </w:rPr>
        <w:t xml:space="preserve">tors who would otherwise bring </w:t>
      </w:r>
      <w:r>
        <w:rPr>
          <w:sz w:val="24"/>
          <w:szCs w:val="24"/>
        </w:rPr>
        <w:t xml:space="preserve">added expertise </w:t>
      </w:r>
      <w:r w:rsidR="00BC1AB9">
        <w:rPr>
          <w:sz w:val="24"/>
          <w:szCs w:val="24"/>
        </w:rPr>
        <w:t xml:space="preserve">and independent perspective </w:t>
      </w:r>
      <w:r>
        <w:rPr>
          <w:sz w:val="24"/>
          <w:szCs w:val="24"/>
        </w:rPr>
        <w:t>to FCW’s board. Under the broad exclusions of the proposed rule, it appears FCW’s</w:t>
      </w:r>
      <w:r w:rsidR="00BC1AB9">
        <w:rPr>
          <w:sz w:val="24"/>
          <w:szCs w:val="24"/>
        </w:rPr>
        <w:t xml:space="preserve"> two</w:t>
      </w:r>
      <w:r>
        <w:rPr>
          <w:sz w:val="24"/>
          <w:szCs w:val="24"/>
        </w:rPr>
        <w:t xml:space="preserve"> outside directors, who bring substantial expertise, would potentially be disqualified from serving. </w:t>
      </w:r>
    </w:p>
    <w:p w:rsidR="00ED7B89" w:rsidRPr="00ED7B89" w:rsidRDefault="00ED7B89" w:rsidP="00ED7B89">
      <w:pPr>
        <w:jc w:val="both"/>
        <w:rPr>
          <w:b/>
          <w:sz w:val="24"/>
          <w:szCs w:val="24"/>
          <w:u w:val="single"/>
        </w:rPr>
      </w:pPr>
    </w:p>
    <w:p w:rsidR="00057563" w:rsidRDefault="00ED7B89" w:rsidP="00ED7B89">
      <w:pPr>
        <w:jc w:val="both"/>
        <w:rPr>
          <w:sz w:val="24"/>
          <w:szCs w:val="24"/>
        </w:rPr>
      </w:pPr>
      <w:r w:rsidRPr="00ED7B89">
        <w:rPr>
          <w:sz w:val="24"/>
          <w:szCs w:val="24"/>
        </w:rPr>
        <w:t xml:space="preserve">The broader </w:t>
      </w:r>
      <w:r w:rsidR="00E55617">
        <w:rPr>
          <w:sz w:val="24"/>
          <w:szCs w:val="24"/>
        </w:rPr>
        <w:t xml:space="preserve">exclusions </w:t>
      </w:r>
      <w:r w:rsidR="00B2182A">
        <w:rPr>
          <w:sz w:val="24"/>
          <w:szCs w:val="24"/>
        </w:rPr>
        <w:t xml:space="preserve">which limit service if the </w:t>
      </w:r>
      <w:r w:rsidR="00E55617">
        <w:rPr>
          <w:sz w:val="24"/>
          <w:szCs w:val="24"/>
        </w:rPr>
        <w:t>outside director</w:t>
      </w:r>
      <w:r w:rsidR="00B2182A">
        <w:rPr>
          <w:sz w:val="24"/>
          <w:szCs w:val="24"/>
        </w:rPr>
        <w:t xml:space="preserve"> is or has a certain relationship to a borrower</w:t>
      </w:r>
      <w:r w:rsidR="00E738E0">
        <w:rPr>
          <w:sz w:val="24"/>
          <w:szCs w:val="24"/>
        </w:rPr>
        <w:t xml:space="preserve">, immediate family members, those with a controlling interest </w:t>
      </w:r>
      <w:r w:rsidR="00EC24EB">
        <w:rPr>
          <w:sz w:val="24"/>
          <w:szCs w:val="24"/>
        </w:rPr>
        <w:t xml:space="preserve">in an entity borrower or </w:t>
      </w:r>
      <w:r w:rsidR="00E738E0">
        <w:rPr>
          <w:sz w:val="24"/>
          <w:szCs w:val="24"/>
        </w:rPr>
        <w:t xml:space="preserve">affiliated organization, </w:t>
      </w:r>
      <w:r w:rsidRPr="00ED7B89">
        <w:rPr>
          <w:sz w:val="24"/>
          <w:szCs w:val="24"/>
        </w:rPr>
        <w:t>r</w:t>
      </w:r>
      <w:r w:rsidR="00E738E0">
        <w:rPr>
          <w:sz w:val="24"/>
          <w:szCs w:val="24"/>
        </w:rPr>
        <w:t>egardless of any connection to the</w:t>
      </w:r>
      <w:r w:rsidRPr="00ED7B89">
        <w:rPr>
          <w:sz w:val="24"/>
          <w:szCs w:val="24"/>
        </w:rPr>
        <w:t xml:space="preserve"> Farm Credit institution</w:t>
      </w:r>
      <w:r w:rsidR="00E738E0">
        <w:rPr>
          <w:sz w:val="24"/>
          <w:szCs w:val="24"/>
        </w:rPr>
        <w:t xml:space="preserve"> the candidate would serve</w:t>
      </w:r>
      <w:r w:rsidRPr="00ED7B89">
        <w:rPr>
          <w:sz w:val="24"/>
          <w:szCs w:val="24"/>
        </w:rPr>
        <w:t xml:space="preserve">, will </w:t>
      </w:r>
      <w:r w:rsidR="00057563">
        <w:rPr>
          <w:sz w:val="24"/>
          <w:szCs w:val="24"/>
        </w:rPr>
        <w:t xml:space="preserve">vastly reduce the number of qualified candidates and serve no purpose in ensuring director independence beyond existing regulations. For example, should a candidate for FCW be excluded from </w:t>
      </w:r>
      <w:r w:rsidR="004304C8">
        <w:rPr>
          <w:sz w:val="24"/>
          <w:szCs w:val="24"/>
        </w:rPr>
        <w:t>eligibility</w:t>
      </w:r>
      <w:r w:rsidR="00057563">
        <w:rPr>
          <w:sz w:val="24"/>
          <w:szCs w:val="24"/>
        </w:rPr>
        <w:t xml:space="preserve"> because </w:t>
      </w:r>
      <w:r w:rsidR="00B2182A">
        <w:rPr>
          <w:sz w:val="24"/>
          <w:szCs w:val="24"/>
        </w:rPr>
        <w:t>her</w:t>
      </w:r>
      <w:r w:rsidR="00057563">
        <w:rPr>
          <w:sz w:val="24"/>
          <w:szCs w:val="24"/>
        </w:rPr>
        <w:t xml:space="preserve"> sister-in-law</w:t>
      </w:r>
      <w:r w:rsidR="00B2182A">
        <w:rPr>
          <w:sz w:val="24"/>
          <w:szCs w:val="24"/>
        </w:rPr>
        <w:t xml:space="preserve"> </w:t>
      </w:r>
      <w:r w:rsidR="00057563">
        <w:rPr>
          <w:sz w:val="24"/>
          <w:szCs w:val="24"/>
        </w:rPr>
        <w:t>is a passive investor</w:t>
      </w:r>
      <w:r w:rsidR="00B2182A">
        <w:rPr>
          <w:sz w:val="24"/>
          <w:szCs w:val="24"/>
        </w:rPr>
        <w:t>,</w:t>
      </w:r>
      <w:r w:rsidR="00057563">
        <w:rPr>
          <w:sz w:val="24"/>
          <w:szCs w:val="24"/>
        </w:rPr>
        <w:t xml:space="preserve"> with a 5% interest in entity that borrows from another association in a different district? We fail to see how this distant connection undermines director independence or justifies exclusion of a qualified candidate.</w:t>
      </w:r>
      <w:r w:rsidRPr="00ED7B89">
        <w:rPr>
          <w:sz w:val="24"/>
          <w:szCs w:val="24"/>
        </w:rPr>
        <w:t xml:space="preserve"> </w:t>
      </w:r>
      <w:r w:rsidR="00EC24EB">
        <w:rPr>
          <w:sz w:val="24"/>
          <w:szCs w:val="24"/>
        </w:rPr>
        <w:t xml:space="preserve"> </w:t>
      </w:r>
    </w:p>
    <w:p w:rsidR="00057563" w:rsidRDefault="00057563" w:rsidP="00ED7B89">
      <w:pPr>
        <w:jc w:val="both"/>
        <w:rPr>
          <w:sz w:val="24"/>
          <w:szCs w:val="24"/>
        </w:rPr>
      </w:pPr>
    </w:p>
    <w:p w:rsidR="00ED7B89" w:rsidRDefault="00C3730C" w:rsidP="00ED7B89">
      <w:pPr>
        <w:jc w:val="both"/>
        <w:rPr>
          <w:sz w:val="24"/>
          <w:szCs w:val="24"/>
        </w:rPr>
      </w:pPr>
      <w:r>
        <w:rPr>
          <w:sz w:val="24"/>
          <w:szCs w:val="24"/>
        </w:rPr>
        <w:t xml:space="preserve">Excluding candidates because of borrowing relationships their family members, or related controlled entities and affiliated organizations may have with any </w:t>
      </w:r>
      <w:r w:rsidR="00EC24EB">
        <w:rPr>
          <w:sz w:val="24"/>
          <w:szCs w:val="24"/>
        </w:rPr>
        <w:t xml:space="preserve">Farm Credit System </w:t>
      </w:r>
      <w:r w:rsidR="00057563">
        <w:rPr>
          <w:sz w:val="24"/>
          <w:szCs w:val="24"/>
        </w:rPr>
        <w:t>i</w:t>
      </w:r>
      <w:r w:rsidR="008263F7">
        <w:rPr>
          <w:sz w:val="24"/>
          <w:szCs w:val="24"/>
        </w:rPr>
        <w:t>nstitutions</w:t>
      </w:r>
      <w:r w:rsidR="00EC24EB">
        <w:rPr>
          <w:sz w:val="24"/>
          <w:szCs w:val="24"/>
        </w:rPr>
        <w:t xml:space="preserve"> is </w:t>
      </w:r>
      <w:r w:rsidR="00E738E0">
        <w:rPr>
          <w:sz w:val="24"/>
          <w:szCs w:val="24"/>
        </w:rPr>
        <w:t xml:space="preserve">so vast, candidates may not know if these relationships exist. Compliance would require constant </w:t>
      </w:r>
      <w:r w:rsidR="00BC1AB9">
        <w:rPr>
          <w:sz w:val="24"/>
          <w:szCs w:val="24"/>
        </w:rPr>
        <w:t xml:space="preserve">monitoring </w:t>
      </w:r>
      <w:r w:rsidR="00E738E0">
        <w:rPr>
          <w:sz w:val="24"/>
          <w:szCs w:val="24"/>
        </w:rPr>
        <w:t xml:space="preserve">and </w:t>
      </w:r>
      <w:r w:rsidR="00EC24EB">
        <w:rPr>
          <w:sz w:val="24"/>
          <w:szCs w:val="24"/>
        </w:rPr>
        <w:t>intrusive inquiry</w:t>
      </w:r>
      <w:r w:rsidR="00E738E0">
        <w:rPr>
          <w:sz w:val="24"/>
          <w:szCs w:val="24"/>
        </w:rPr>
        <w:t xml:space="preserve"> with every family member to det</w:t>
      </w:r>
      <w:r w:rsidR="00EC24EB">
        <w:rPr>
          <w:sz w:val="24"/>
          <w:szCs w:val="24"/>
        </w:rPr>
        <w:t>ermine whether any such relation</w:t>
      </w:r>
      <w:r w:rsidR="00057563">
        <w:rPr>
          <w:sz w:val="24"/>
          <w:szCs w:val="24"/>
        </w:rPr>
        <w:t>ship</w:t>
      </w:r>
      <w:r w:rsidR="00B2182A">
        <w:rPr>
          <w:sz w:val="24"/>
          <w:szCs w:val="24"/>
        </w:rPr>
        <w:t xml:space="preserve"> exists</w:t>
      </w:r>
      <w:r w:rsidR="00BC1AB9">
        <w:rPr>
          <w:sz w:val="24"/>
          <w:szCs w:val="24"/>
        </w:rPr>
        <w:t xml:space="preserve"> or may arise while the director is serving</w:t>
      </w:r>
      <w:r w:rsidR="00057563">
        <w:rPr>
          <w:sz w:val="24"/>
          <w:szCs w:val="24"/>
        </w:rPr>
        <w:t xml:space="preserve">. </w:t>
      </w:r>
      <w:r>
        <w:rPr>
          <w:sz w:val="24"/>
          <w:szCs w:val="24"/>
        </w:rPr>
        <w:t>Further, t</w:t>
      </w:r>
      <w:r w:rsidR="00684EAB">
        <w:rPr>
          <w:sz w:val="24"/>
          <w:szCs w:val="24"/>
        </w:rPr>
        <w:t xml:space="preserve">he potential for outside directors to later become disqualified because a distant family member becomes a new borrower with an association across the country, creates instability on the board and a serious disincentive to serving. </w:t>
      </w:r>
      <w:r w:rsidR="00ED7B89" w:rsidRPr="00ED7B89">
        <w:rPr>
          <w:sz w:val="24"/>
          <w:szCs w:val="24"/>
        </w:rPr>
        <w:t xml:space="preserve">This would be so burdensome that many potential candidates </w:t>
      </w:r>
      <w:r w:rsidR="004304C8">
        <w:rPr>
          <w:sz w:val="24"/>
          <w:szCs w:val="24"/>
        </w:rPr>
        <w:t>may withdraw from consideration</w:t>
      </w:r>
      <w:r w:rsidR="00ED7B89" w:rsidRPr="00ED7B89">
        <w:rPr>
          <w:sz w:val="24"/>
          <w:szCs w:val="24"/>
        </w:rPr>
        <w:t xml:space="preserve">. Associations will have difficulty in attracting and retaining strong and qualified </w:t>
      </w:r>
      <w:r w:rsidR="00E738E0">
        <w:rPr>
          <w:sz w:val="24"/>
          <w:szCs w:val="24"/>
        </w:rPr>
        <w:t xml:space="preserve">outside </w:t>
      </w:r>
      <w:r w:rsidR="00ED7B89" w:rsidRPr="00ED7B89">
        <w:rPr>
          <w:sz w:val="24"/>
          <w:szCs w:val="24"/>
        </w:rPr>
        <w:t xml:space="preserve">directors who </w:t>
      </w:r>
      <w:r w:rsidR="00E738E0">
        <w:rPr>
          <w:sz w:val="24"/>
          <w:szCs w:val="24"/>
        </w:rPr>
        <w:t xml:space="preserve">bring additional expertise critical to </w:t>
      </w:r>
      <w:r w:rsidR="00ED7B89" w:rsidRPr="00ED7B89">
        <w:rPr>
          <w:sz w:val="24"/>
          <w:szCs w:val="24"/>
        </w:rPr>
        <w:t xml:space="preserve">the success of </w:t>
      </w:r>
      <w:r w:rsidR="003F16B2">
        <w:rPr>
          <w:sz w:val="24"/>
          <w:szCs w:val="24"/>
        </w:rPr>
        <w:t>FCW</w:t>
      </w:r>
      <w:r w:rsidR="00ED7B89" w:rsidRPr="00ED7B89">
        <w:rPr>
          <w:sz w:val="24"/>
          <w:szCs w:val="24"/>
        </w:rPr>
        <w:t xml:space="preserve"> and other Farm Credit System institutions. </w:t>
      </w:r>
      <w:r w:rsidR="003F16B2">
        <w:rPr>
          <w:sz w:val="24"/>
          <w:szCs w:val="24"/>
        </w:rPr>
        <w:t>FCW</w:t>
      </w:r>
      <w:r w:rsidR="00ED7B89" w:rsidRPr="00ED7B89">
        <w:rPr>
          <w:sz w:val="24"/>
          <w:szCs w:val="24"/>
        </w:rPr>
        <w:t xml:space="preserve"> directors have conveyed strong reservations about these proposed </w:t>
      </w:r>
      <w:r w:rsidR="00E738E0">
        <w:rPr>
          <w:sz w:val="24"/>
          <w:szCs w:val="24"/>
        </w:rPr>
        <w:t xml:space="preserve">exclusions </w:t>
      </w:r>
      <w:r w:rsidR="00ED7B89" w:rsidRPr="00ED7B89">
        <w:rPr>
          <w:sz w:val="24"/>
          <w:szCs w:val="24"/>
        </w:rPr>
        <w:t xml:space="preserve">requirements, </w:t>
      </w:r>
      <w:r w:rsidR="004304C8">
        <w:rPr>
          <w:sz w:val="24"/>
          <w:szCs w:val="24"/>
        </w:rPr>
        <w:t xml:space="preserve">and </w:t>
      </w:r>
      <w:r w:rsidR="00ED7B89" w:rsidRPr="00ED7B89">
        <w:rPr>
          <w:sz w:val="24"/>
          <w:szCs w:val="24"/>
        </w:rPr>
        <w:t xml:space="preserve">the difficulties this would create </w:t>
      </w:r>
      <w:r w:rsidR="00E738E0">
        <w:rPr>
          <w:sz w:val="24"/>
          <w:szCs w:val="24"/>
        </w:rPr>
        <w:t xml:space="preserve">in finding suitable outside directors. </w:t>
      </w:r>
    </w:p>
    <w:p w:rsidR="00ED7B89" w:rsidRPr="00ED7B89" w:rsidRDefault="00ED7B89" w:rsidP="00ED7B89">
      <w:pPr>
        <w:jc w:val="both"/>
        <w:rPr>
          <w:sz w:val="24"/>
          <w:szCs w:val="24"/>
        </w:rPr>
      </w:pPr>
    </w:p>
    <w:p w:rsidR="00ED7B89" w:rsidRPr="00ED7B89" w:rsidRDefault="003F16B2" w:rsidP="00ED7B89">
      <w:pPr>
        <w:jc w:val="both"/>
        <w:rPr>
          <w:sz w:val="24"/>
          <w:szCs w:val="24"/>
        </w:rPr>
      </w:pPr>
      <w:r>
        <w:rPr>
          <w:sz w:val="24"/>
          <w:szCs w:val="24"/>
        </w:rPr>
        <w:t>FCW</w:t>
      </w:r>
      <w:r w:rsidR="00ED7B89" w:rsidRPr="00ED7B89">
        <w:rPr>
          <w:sz w:val="24"/>
          <w:szCs w:val="24"/>
        </w:rPr>
        <w:t xml:space="preserve"> </w:t>
      </w:r>
      <w:r w:rsidR="004304C8">
        <w:rPr>
          <w:sz w:val="24"/>
          <w:szCs w:val="24"/>
        </w:rPr>
        <w:t>urges FCA to withdraw this proposed rule</w:t>
      </w:r>
      <w:r w:rsidR="00EE30BF">
        <w:rPr>
          <w:sz w:val="24"/>
          <w:szCs w:val="24"/>
        </w:rPr>
        <w:t xml:space="preserve">. </w:t>
      </w:r>
      <w:r w:rsidR="008F59A3">
        <w:rPr>
          <w:sz w:val="24"/>
          <w:szCs w:val="24"/>
        </w:rPr>
        <w:t xml:space="preserve"> </w:t>
      </w:r>
      <w:r w:rsidR="00BC1AB9" w:rsidRPr="00BC1AB9">
        <w:rPr>
          <w:sz w:val="24"/>
          <w:szCs w:val="24"/>
        </w:rPr>
        <w:t xml:space="preserve">If FCA proceeds, FCW strongly objects and requests FCA substantially revise the proposed rule </w:t>
      </w:r>
      <w:r w:rsidR="00EE30BF">
        <w:rPr>
          <w:sz w:val="24"/>
          <w:szCs w:val="24"/>
        </w:rPr>
        <w:t xml:space="preserve">to line up with the definitions in the proposed standards of conduct regulations once finalized </w:t>
      </w:r>
      <w:r w:rsidR="00BC1AB9" w:rsidRPr="00BC1AB9">
        <w:rPr>
          <w:sz w:val="24"/>
          <w:szCs w:val="24"/>
        </w:rPr>
        <w:t xml:space="preserve">and re-submit for public comment. </w:t>
      </w:r>
      <w:r w:rsidR="00684EAB">
        <w:rPr>
          <w:sz w:val="24"/>
          <w:szCs w:val="24"/>
        </w:rPr>
        <w:t>A</w:t>
      </w:r>
      <w:r w:rsidR="0041466F">
        <w:rPr>
          <w:sz w:val="24"/>
          <w:szCs w:val="24"/>
        </w:rPr>
        <w:t>t the very least, with significant</w:t>
      </w:r>
      <w:r w:rsidR="00684EAB">
        <w:rPr>
          <w:sz w:val="24"/>
          <w:szCs w:val="24"/>
        </w:rPr>
        <w:t xml:space="preserve"> reservations, FCW </w:t>
      </w:r>
      <w:r w:rsidR="00ED7B89" w:rsidRPr="00ED7B89">
        <w:rPr>
          <w:sz w:val="24"/>
          <w:szCs w:val="24"/>
        </w:rPr>
        <w:t xml:space="preserve">offers the following specific section-by-section comments to be considered in conjunction with the comments submitted by the Farm Credit Council and by CoBank.  </w:t>
      </w:r>
      <w:r>
        <w:rPr>
          <w:sz w:val="24"/>
          <w:szCs w:val="24"/>
        </w:rPr>
        <w:t>FCW</w:t>
      </w:r>
      <w:r w:rsidR="00ED7B89" w:rsidRPr="00ED7B89">
        <w:rPr>
          <w:sz w:val="24"/>
          <w:szCs w:val="24"/>
        </w:rPr>
        <w:t xml:space="preserve"> joins in and strongly supports the comments submitted by the Farm Credit Council and by CoBank.</w:t>
      </w:r>
    </w:p>
    <w:p w:rsidR="00ED7B89" w:rsidRPr="00ED7B89" w:rsidRDefault="00ED7B89" w:rsidP="00ED7B89">
      <w:pPr>
        <w:jc w:val="both"/>
        <w:rPr>
          <w:sz w:val="24"/>
          <w:szCs w:val="24"/>
        </w:rPr>
      </w:pPr>
    </w:p>
    <w:p w:rsidR="00ED7B89" w:rsidRPr="00B2182A" w:rsidRDefault="00ED7B89" w:rsidP="00B2182A">
      <w:pPr>
        <w:jc w:val="center"/>
        <w:rPr>
          <w:b/>
          <w:sz w:val="24"/>
          <w:szCs w:val="24"/>
          <w:u w:val="single"/>
        </w:rPr>
      </w:pPr>
      <w:r w:rsidRPr="00ED7B89">
        <w:rPr>
          <w:b/>
          <w:sz w:val="24"/>
          <w:szCs w:val="24"/>
          <w:u w:val="single"/>
        </w:rPr>
        <w:t>Section-by-Section Comments</w:t>
      </w:r>
    </w:p>
    <w:p w:rsidR="006A76A4" w:rsidRDefault="006A76A4" w:rsidP="00ED7B89">
      <w:pPr>
        <w:jc w:val="both"/>
        <w:rPr>
          <w:sz w:val="24"/>
          <w:szCs w:val="24"/>
          <w:u w:val="single"/>
        </w:rPr>
      </w:pPr>
    </w:p>
    <w:p w:rsidR="00ED7B89" w:rsidRDefault="00B278D3" w:rsidP="00ED7B89">
      <w:pPr>
        <w:jc w:val="both"/>
        <w:rPr>
          <w:sz w:val="24"/>
          <w:szCs w:val="24"/>
          <w:u w:val="single"/>
        </w:rPr>
      </w:pPr>
      <w:r>
        <w:rPr>
          <w:sz w:val="24"/>
          <w:szCs w:val="24"/>
          <w:u w:val="single"/>
        </w:rPr>
        <w:t>611.220</w:t>
      </w:r>
      <w:r w:rsidR="006A76A4">
        <w:rPr>
          <w:sz w:val="24"/>
          <w:szCs w:val="24"/>
          <w:u w:val="single"/>
        </w:rPr>
        <w:t xml:space="preserve"> </w:t>
      </w:r>
      <w:r>
        <w:rPr>
          <w:sz w:val="24"/>
          <w:szCs w:val="24"/>
          <w:u w:val="single"/>
        </w:rPr>
        <w:t xml:space="preserve">(a) </w:t>
      </w:r>
      <w:r w:rsidR="006A76A4">
        <w:rPr>
          <w:sz w:val="24"/>
          <w:szCs w:val="24"/>
          <w:u w:val="single"/>
        </w:rPr>
        <w:t>Definitions</w:t>
      </w:r>
    </w:p>
    <w:p w:rsidR="006A76A4" w:rsidRPr="00ED7B89" w:rsidRDefault="006A76A4" w:rsidP="00ED7B89">
      <w:pPr>
        <w:jc w:val="both"/>
        <w:rPr>
          <w:sz w:val="24"/>
          <w:szCs w:val="24"/>
          <w:u w:val="single"/>
        </w:rPr>
      </w:pPr>
    </w:p>
    <w:p w:rsidR="00B2182A" w:rsidRDefault="006A76A4" w:rsidP="00ED7B89">
      <w:pPr>
        <w:jc w:val="both"/>
        <w:rPr>
          <w:sz w:val="24"/>
          <w:szCs w:val="24"/>
        </w:rPr>
      </w:pPr>
      <w:r>
        <w:rPr>
          <w:sz w:val="24"/>
          <w:szCs w:val="24"/>
          <w:u w:val="single"/>
        </w:rPr>
        <w:t xml:space="preserve">(1) </w:t>
      </w:r>
      <w:r w:rsidR="004304C8">
        <w:rPr>
          <w:sz w:val="24"/>
          <w:szCs w:val="24"/>
          <w:u w:val="single"/>
        </w:rPr>
        <w:t>Affiliated</w:t>
      </w:r>
      <w:r w:rsidR="00305AC0">
        <w:rPr>
          <w:sz w:val="24"/>
          <w:szCs w:val="24"/>
          <w:u w:val="single"/>
        </w:rPr>
        <w:t xml:space="preserve"> organization. </w:t>
      </w:r>
      <w:r w:rsidR="00ED7B89" w:rsidRPr="00ED7B89">
        <w:rPr>
          <w:sz w:val="24"/>
          <w:szCs w:val="24"/>
        </w:rPr>
        <w:t xml:space="preserve">The definition of </w:t>
      </w:r>
      <w:r>
        <w:rPr>
          <w:sz w:val="24"/>
          <w:szCs w:val="24"/>
        </w:rPr>
        <w:t>an affiliate</w:t>
      </w:r>
      <w:r w:rsidR="004304C8">
        <w:rPr>
          <w:sz w:val="24"/>
          <w:szCs w:val="24"/>
        </w:rPr>
        <w:t>d</w:t>
      </w:r>
      <w:r w:rsidR="00EE30BF">
        <w:rPr>
          <w:sz w:val="24"/>
          <w:szCs w:val="24"/>
        </w:rPr>
        <w:t xml:space="preserve"> organization is so vague and </w:t>
      </w:r>
      <w:r>
        <w:rPr>
          <w:sz w:val="24"/>
          <w:szCs w:val="24"/>
        </w:rPr>
        <w:t>unclear</w:t>
      </w:r>
      <w:r w:rsidR="00EE30BF">
        <w:rPr>
          <w:sz w:val="24"/>
          <w:szCs w:val="24"/>
        </w:rPr>
        <w:t>. The definition is so ambiguous as to suggest that any organizat</w:t>
      </w:r>
      <w:r w:rsidR="00411FB6">
        <w:rPr>
          <w:sz w:val="24"/>
          <w:szCs w:val="24"/>
        </w:rPr>
        <w:t xml:space="preserve">ion that serves farmers, </w:t>
      </w:r>
      <w:r w:rsidR="00EE30BF">
        <w:rPr>
          <w:sz w:val="24"/>
          <w:szCs w:val="24"/>
        </w:rPr>
        <w:t xml:space="preserve">such as 4 H or </w:t>
      </w:r>
      <w:r w:rsidR="00411FB6">
        <w:rPr>
          <w:sz w:val="24"/>
          <w:szCs w:val="24"/>
        </w:rPr>
        <w:t xml:space="preserve">FFA </w:t>
      </w:r>
      <w:r w:rsidR="00EE30BF">
        <w:rPr>
          <w:sz w:val="24"/>
          <w:szCs w:val="24"/>
        </w:rPr>
        <w:t>would be included</w:t>
      </w:r>
      <w:r>
        <w:rPr>
          <w:sz w:val="24"/>
          <w:szCs w:val="24"/>
        </w:rPr>
        <w:t>. Without further clarification, an affiliated organization could encompass any entity</w:t>
      </w:r>
      <w:r w:rsidR="00EE30BF">
        <w:rPr>
          <w:sz w:val="24"/>
          <w:szCs w:val="24"/>
        </w:rPr>
        <w:t xml:space="preserve"> with its mission to serve </w:t>
      </w:r>
      <w:r w:rsidR="00411FB6">
        <w:rPr>
          <w:sz w:val="24"/>
          <w:szCs w:val="24"/>
        </w:rPr>
        <w:t xml:space="preserve">farmers or agriculture. </w:t>
      </w:r>
      <w:r>
        <w:rPr>
          <w:sz w:val="24"/>
          <w:szCs w:val="24"/>
        </w:rPr>
        <w:t xml:space="preserve"> </w:t>
      </w:r>
      <w:r w:rsidR="00411FB6">
        <w:rPr>
          <w:sz w:val="24"/>
          <w:szCs w:val="24"/>
        </w:rPr>
        <w:t>This exclusion goes well beyond any reasonable interpretation of the statutory requirements. Further any concerns related to a</w:t>
      </w:r>
      <w:r w:rsidR="00BD4E00">
        <w:rPr>
          <w:sz w:val="24"/>
          <w:szCs w:val="24"/>
        </w:rPr>
        <w:t xml:space="preserve">n affiliated organization of a </w:t>
      </w:r>
      <w:r w:rsidR="00411FB6">
        <w:rPr>
          <w:sz w:val="24"/>
          <w:szCs w:val="24"/>
        </w:rPr>
        <w:t>candidate is best evaluated under the current standards of conduct process.  T</w:t>
      </w:r>
      <w:r w:rsidR="00705AAE">
        <w:rPr>
          <w:sz w:val="24"/>
          <w:szCs w:val="24"/>
        </w:rPr>
        <w:t xml:space="preserve">herefore </w:t>
      </w:r>
      <w:r w:rsidR="00411FB6">
        <w:rPr>
          <w:sz w:val="24"/>
          <w:szCs w:val="24"/>
        </w:rPr>
        <w:t xml:space="preserve">we </w:t>
      </w:r>
      <w:r w:rsidR="00705AAE">
        <w:rPr>
          <w:sz w:val="24"/>
          <w:szCs w:val="24"/>
        </w:rPr>
        <w:t>propose this limitation be removed</w:t>
      </w:r>
      <w:r w:rsidR="00B2182A">
        <w:rPr>
          <w:sz w:val="24"/>
          <w:szCs w:val="24"/>
        </w:rPr>
        <w:t xml:space="preserve"> or substantially </w:t>
      </w:r>
      <w:r w:rsidR="00411FB6">
        <w:rPr>
          <w:sz w:val="24"/>
          <w:szCs w:val="24"/>
        </w:rPr>
        <w:t>clarified</w:t>
      </w:r>
      <w:r w:rsidR="00705AAE">
        <w:rPr>
          <w:sz w:val="24"/>
          <w:szCs w:val="24"/>
        </w:rPr>
        <w:t>.</w:t>
      </w:r>
      <w:r w:rsidR="008F59A3">
        <w:rPr>
          <w:sz w:val="24"/>
          <w:szCs w:val="24"/>
        </w:rPr>
        <w:t xml:space="preserve"> </w:t>
      </w:r>
    </w:p>
    <w:p w:rsidR="00411FB6" w:rsidRDefault="00411FB6" w:rsidP="00ED7B89">
      <w:pPr>
        <w:jc w:val="both"/>
        <w:rPr>
          <w:sz w:val="24"/>
          <w:szCs w:val="24"/>
        </w:rPr>
      </w:pPr>
    </w:p>
    <w:p w:rsidR="00745ECF" w:rsidRDefault="00705AAE" w:rsidP="00ED7B89">
      <w:pPr>
        <w:jc w:val="both"/>
        <w:rPr>
          <w:sz w:val="24"/>
          <w:szCs w:val="24"/>
        </w:rPr>
      </w:pPr>
      <w:r>
        <w:rPr>
          <w:sz w:val="24"/>
          <w:szCs w:val="24"/>
        </w:rPr>
        <w:t xml:space="preserve">(2) </w:t>
      </w:r>
      <w:r w:rsidR="00305AC0" w:rsidRPr="00305AC0">
        <w:rPr>
          <w:sz w:val="24"/>
          <w:szCs w:val="24"/>
          <w:u w:val="single"/>
        </w:rPr>
        <w:t>Borrower.</w:t>
      </w:r>
      <w:r w:rsidR="00305AC0">
        <w:rPr>
          <w:sz w:val="24"/>
          <w:szCs w:val="24"/>
        </w:rPr>
        <w:t xml:space="preserve"> </w:t>
      </w:r>
      <w:r w:rsidR="00745ECF">
        <w:rPr>
          <w:sz w:val="24"/>
          <w:szCs w:val="24"/>
        </w:rPr>
        <w:t xml:space="preserve">The definition of Borrower is </w:t>
      </w:r>
      <w:r w:rsidR="008F59A3">
        <w:rPr>
          <w:sz w:val="24"/>
          <w:szCs w:val="24"/>
        </w:rPr>
        <w:t>unnecessary</w:t>
      </w:r>
      <w:r w:rsidR="00BD4E00">
        <w:rPr>
          <w:sz w:val="24"/>
          <w:szCs w:val="24"/>
        </w:rPr>
        <w:t xml:space="preserve">. The </w:t>
      </w:r>
      <w:r w:rsidR="001B1739">
        <w:rPr>
          <w:sz w:val="24"/>
          <w:szCs w:val="24"/>
        </w:rPr>
        <w:t>standards of conduct review process can be utilized to determine if a borrowing relationship should exclude a candidate from consideration</w:t>
      </w:r>
      <w:r w:rsidR="00745ECF">
        <w:rPr>
          <w:sz w:val="24"/>
          <w:szCs w:val="24"/>
        </w:rPr>
        <w:t xml:space="preserve">. </w:t>
      </w:r>
    </w:p>
    <w:p w:rsidR="00684EAB" w:rsidRDefault="00684EAB" w:rsidP="00ED7B89">
      <w:pPr>
        <w:jc w:val="both"/>
        <w:rPr>
          <w:sz w:val="24"/>
          <w:szCs w:val="24"/>
        </w:rPr>
      </w:pPr>
    </w:p>
    <w:p w:rsidR="00ED7B89" w:rsidRPr="006A76A4" w:rsidRDefault="00745ECF" w:rsidP="00ED7B89">
      <w:pPr>
        <w:jc w:val="both"/>
        <w:rPr>
          <w:sz w:val="24"/>
          <w:szCs w:val="24"/>
          <w:u w:val="single"/>
        </w:rPr>
      </w:pPr>
      <w:r>
        <w:rPr>
          <w:sz w:val="24"/>
          <w:szCs w:val="24"/>
        </w:rPr>
        <w:t xml:space="preserve">(3) </w:t>
      </w:r>
      <w:r w:rsidR="00305AC0" w:rsidRPr="00305AC0">
        <w:rPr>
          <w:sz w:val="24"/>
          <w:szCs w:val="24"/>
          <w:u w:val="single"/>
        </w:rPr>
        <w:t>Controlling interest.</w:t>
      </w:r>
      <w:r w:rsidR="00305AC0">
        <w:rPr>
          <w:sz w:val="24"/>
          <w:szCs w:val="24"/>
        </w:rPr>
        <w:t xml:space="preserve"> </w:t>
      </w:r>
      <w:r>
        <w:rPr>
          <w:sz w:val="24"/>
          <w:szCs w:val="24"/>
        </w:rPr>
        <w:t xml:space="preserve">The new term Controlling interest is not </w:t>
      </w:r>
      <w:r w:rsidR="001B1739">
        <w:rPr>
          <w:sz w:val="24"/>
          <w:szCs w:val="24"/>
        </w:rPr>
        <w:t>needed and can be addressed</w:t>
      </w:r>
      <w:r w:rsidR="008F59A3">
        <w:rPr>
          <w:sz w:val="24"/>
          <w:szCs w:val="24"/>
        </w:rPr>
        <w:t xml:space="preserve"> under the standards of conduct review process. Further, this definition is in</w:t>
      </w:r>
      <w:r>
        <w:rPr>
          <w:sz w:val="24"/>
          <w:szCs w:val="24"/>
        </w:rPr>
        <w:t>consistent with the new “reportable business entity</w:t>
      </w:r>
      <w:r w:rsidR="00D23104">
        <w:rPr>
          <w:sz w:val="24"/>
          <w:szCs w:val="24"/>
        </w:rPr>
        <w:t xml:space="preserve">” definition </w:t>
      </w:r>
      <w:r w:rsidR="003972D1">
        <w:rPr>
          <w:sz w:val="24"/>
          <w:szCs w:val="24"/>
        </w:rPr>
        <w:t xml:space="preserve">under the proposed rule for Standards of Conduct </w:t>
      </w:r>
      <w:r>
        <w:rPr>
          <w:sz w:val="24"/>
          <w:szCs w:val="24"/>
        </w:rPr>
        <w:t>and will create confusion</w:t>
      </w:r>
      <w:r w:rsidR="00ED7B89" w:rsidRPr="00ED7B89">
        <w:rPr>
          <w:sz w:val="24"/>
          <w:szCs w:val="24"/>
        </w:rPr>
        <w:t xml:space="preserve">. </w:t>
      </w:r>
      <w:r w:rsidR="008F59A3">
        <w:rPr>
          <w:sz w:val="24"/>
          <w:szCs w:val="24"/>
        </w:rPr>
        <w:t>At the very least, t</w:t>
      </w:r>
      <w:r w:rsidR="003972D1">
        <w:rPr>
          <w:sz w:val="24"/>
          <w:szCs w:val="24"/>
        </w:rPr>
        <w:t>his</w:t>
      </w:r>
      <w:r w:rsidR="00D23104">
        <w:rPr>
          <w:sz w:val="24"/>
          <w:szCs w:val="24"/>
        </w:rPr>
        <w:t xml:space="preserve"> </w:t>
      </w:r>
      <w:r w:rsidR="003972D1">
        <w:rPr>
          <w:sz w:val="24"/>
          <w:szCs w:val="24"/>
        </w:rPr>
        <w:t xml:space="preserve">definition </w:t>
      </w:r>
      <w:r w:rsidR="00D23104">
        <w:rPr>
          <w:sz w:val="24"/>
          <w:szCs w:val="24"/>
        </w:rPr>
        <w:t xml:space="preserve">should </w:t>
      </w:r>
      <w:r w:rsidR="003972D1">
        <w:rPr>
          <w:sz w:val="24"/>
          <w:szCs w:val="24"/>
        </w:rPr>
        <w:t>match the materiality standard in the proposed rule for Standards of Conduct. The proposed 5% percent threshold is</w:t>
      </w:r>
      <w:r w:rsidR="00D23104">
        <w:rPr>
          <w:sz w:val="24"/>
          <w:szCs w:val="24"/>
        </w:rPr>
        <w:t xml:space="preserve"> too low and will </w:t>
      </w:r>
      <w:r w:rsidR="00B2182A">
        <w:rPr>
          <w:sz w:val="24"/>
          <w:szCs w:val="24"/>
        </w:rPr>
        <w:t xml:space="preserve">bar candidates from serving if they are </w:t>
      </w:r>
      <w:r w:rsidR="008F59A3">
        <w:rPr>
          <w:sz w:val="24"/>
          <w:szCs w:val="24"/>
        </w:rPr>
        <w:t xml:space="preserve">simply </w:t>
      </w:r>
      <w:r w:rsidR="00B2182A">
        <w:rPr>
          <w:sz w:val="24"/>
          <w:szCs w:val="24"/>
        </w:rPr>
        <w:t xml:space="preserve">a passive investor with </w:t>
      </w:r>
      <w:r w:rsidR="00D23104">
        <w:rPr>
          <w:sz w:val="24"/>
          <w:szCs w:val="24"/>
        </w:rPr>
        <w:t xml:space="preserve">no liability </w:t>
      </w:r>
      <w:r w:rsidR="00B2182A">
        <w:rPr>
          <w:sz w:val="24"/>
          <w:szCs w:val="24"/>
        </w:rPr>
        <w:t>or</w:t>
      </w:r>
      <w:r w:rsidR="00D23104">
        <w:rPr>
          <w:sz w:val="24"/>
          <w:szCs w:val="24"/>
        </w:rPr>
        <w:t xml:space="preserve"> </w:t>
      </w:r>
      <w:r w:rsidR="003972D1">
        <w:rPr>
          <w:sz w:val="24"/>
          <w:szCs w:val="24"/>
        </w:rPr>
        <w:t xml:space="preserve">management </w:t>
      </w:r>
      <w:r w:rsidR="00D23104">
        <w:rPr>
          <w:sz w:val="24"/>
          <w:szCs w:val="24"/>
        </w:rPr>
        <w:t>influence</w:t>
      </w:r>
      <w:r w:rsidR="001B1739">
        <w:rPr>
          <w:sz w:val="24"/>
          <w:szCs w:val="24"/>
        </w:rPr>
        <w:t xml:space="preserve"> over</w:t>
      </w:r>
      <w:r w:rsidR="00B2182A">
        <w:rPr>
          <w:sz w:val="24"/>
          <w:szCs w:val="24"/>
        </w:rPr>
        <w:t xml:space="preserve"> the entity borrower</w:t>
      </w:r>
      <w:r w:rsidR="00D23104">
        <w:rPr>
          <w:sz w:val="24"/>
          <w:szCs w:val="24"/>
        </w:rPr>
        <w:t xml:space="preserve">. </w:t>
      </w:r>
    </w:p>
    <w:p w:rsidR="00ED7B89" w:rsidRPr="00ED7B89" w:rsidRDefault="00ED7B89" w:rsidP="00ED7B89">
      <w:pPr>
        <w:jc w:val="both"/>
        <w:rPr>
          <w:sz w:val="24"/>
          <w:szCs w:val="24"/>
        </w:rPr>
      </w:pPr>
    </w:p>
    <w:p w:rsidR="00ED7B89" w:rsidRDefault="00D23104" w:rsidP="00D23104">
      <w:pPr>
        <w:jc w:val="both"/>
        <w:rPr>
          <w:sz w:val="24"/>
          <w:szCs w:val="24"/>
        </w:rPr>
      </w:pPr>
      <w:r>
        <w:rPr>
          <w:sz w:val="24"/>
          <w:szCs w:val="24"/>
        </w:rPr>
        <w:t xml:space="preserve">(5) </w:t>
      </w:r>
      <w:r w:rsidR="00305AC0" w:rsidRPr="00305AC0">
        <w:rPr>
          <w:sz w:val="24"/>
          <w:szCs w:val="24"/>
          <w:u w:val="single"/>
        </w:rPr>
        <w:t>Immediate family member.</w:t>
      </w:r>
      <w:r w:rsidR="00305AC0">
        <w:rPr>
          <w:sz w:val="24"/>
          <w:szCs w:val="24"/>
        </w:rPr>
        <w:t xml:space="preserve"> </w:t>
      </w:r>
      <w:r w:rsidR="008F59A3">
        <w:rPr>
          <w:sz w:val="24"/>
          <w:szCs w:val="24"/>
        </w:rPr>
        <w:t xml:space="preserve">This </w:t>
      </w:r>
      <w:r w:rsidR="00BD4E00">
        <w:rPr>
          <w:sz w:val="24"/>
          <w:szCs w:val="24"/>
        </w:rPr>
        <w:t>limitation</w:t>
      </w:r>
      <w:r w:rsidR="008F59A3">
        <w:rPr>
          <w:sz w:val="24"/>
          <w:szCs w:val="24"/>
        </w:rPr>
        <w:t xml:space="preserve"> is unwarranted and </w:t>
      </w:r>
      <w:r w:rsidR="001B1739">
        <w:rPr>
          <w:sz w:val="24"/>
          <w:szCs w:val="24"/>
        </w:rPr>
        <w:t xml:space="preserve">should be </w:t>
      </w:r>
      <w:r w:rsidR="008F59A3">
        <w:rPr>
          <w:sz w:val="24"/>
          <w:szCs w:val="24"/>
        </w:rPr>
        <w:t xml:space="preserve">evaluated under the standards of conduct </w:t>
      </w:r>
      <w:r w:rsidR="001B1739">
        <w:rPr>
          <w:sz w:val="24"/>
          <w:szCs w:val="24"/>
        </w:rPr>
        <w:t>approach as noted above</w:t>
      </w:r>
      <w:r w:rsidR="008F59A3">
        <w:rPr>
          <w:sz w:val="24"/>
          <w:szCs w:val="24"/>
        </w:rPr>
        <w:t xml:space="preserve">. </w:t>
      </w:r>
      <w:r w:rsidR="001B1739">
        <w:rPr>
          <w:sz w:val="24"/>
          <w:szCs w:val="24"/>
        </w:rPr>
        <w:t xml:space="preserve">The breadth of this </w:t>
      </w:r>
      <w:r w:rsidR="00620D3C">
        <w:rPr>
          <w:sz w:val="24"/>
          <w:szCs w:val="24"/>
        </w:rPr>
        <w:t>prohibition</w:t>
      </w:r>
      <w:r w:rsidR="001B1739">
        <w:rPr>
          <w:sz w:val="24"/>
          <w:szCs w:val="24"/>
        </w:rPr>
        <w:t xml:space="preserve"> is so sweeping that many candidates </w:t>
      </w:r>
      <w:r w:rsidR="00620D3C">
        <w:rPr>
          <w:sz w:val="24"/>
          <w:szCs w:val="24"/>
        </w:rPr>
        <w:t xml:space="preserve">will be excluded because of </w:t>
      </w:r>
      <w:r w:rsidR="001B1739">
        <w:rPr>
          <w:sz w:val="24"/>
          <w:szCs w:val="24"/>
        </w:rPr>
        <w:t xml:space="preserve">relatives who have loans in </w:t>
      </w:r>
      <w:r w:rsidR="00620D3C">
        <w:rPr>
          <w:sz w:val="24"/>
          <w:szCs w:val="24"/>
        </w:rPr>
        <w:t xml:space="preserve">other </w:t>
      </w:r>
      <w:r w:rsidR="001B1739">
        <w:rPr>
          <w:sz w:val="24"/>
          <w:szCs w:val="24"/>
        </w:rPr>
        <w:t>Farm Credit districts</w:t>
      </w:r>
      <w:r w:rsidR="00620D3C">
        <w:rPr>
          <w:sz w:val="24"/>
          <w:szCs w:val="24"/>
        </w:rPr>
        <w:t xml:space="preserve">. Director independence is not lost because of these relationships. </w:t>
      </w:r>
      <w:r w:rsidR="008F59A3">
        <w:rPr>
          <w:sz w:val="24"/>
          <w:szCs w:val="24"/>
        </w:rPr>
        <w:t xml:space="preserve">At the very least, disqualification for immediate family members should </w:t>
      </w:r>
      <w:r>
        <w:rPr>
          <w:sz w:val="24"/>
          <w:szCs w:val="24"/>
        </w:rPr>
        <w:t xml:space="preserve">limited to the </w:t>
      </w:r>
      <w:r w:rsidR="003972D1">
        <w:rPr>
          <w:sz w:val="24"/>
          <w:szCs w:val="24"/>
        </w:rPr>
        <w:t xml:space="preserve">Farm Credit System </w:t>
      </w:r>
      <w:r>
        <w:rPr>
          <w:sz w:val="24"/>
          <w:szCs w:val="24"/>
        </w:rPr>
        <w:t>institution in</w:t>
      </w:r>
      <w:r w:rsidR="001D32BA">
        <w:rPr>
          <w:sz w:val="24"/>
          <w:szCs w:val="24"/>
        </w:rPr>
        <w:t xml:space="preserve"> which the candidate may serve</w:t>
      </w:r>
      <w:r>
        <w:rPr>
          <w:sz w:val="24"/>
          <w:szCs w:val="24"/>
        </w:rPr>
        <w:t xml:space="preserve">. Otherwise, this definition is overly broad and burdensome. </w:t>
      </w:r>
    </w:p>
    <w:p w:rsidR="00305AC0" w:rsidRPr="00ED7B89" w:rsidRDefault="00305AC0" w:rsidP="00D23104">
      <w:pPr>
        <w:jc w:val="both"/>
        <w:rPr>
          <w:sz w:val="24"/>
          <w:szCs w:val="24"/>
        </w:rPr>
      </w:pPr>
    </w:p>
    <w:p w:rsidR="00ED7B89" w:rsidRPr="00ED7B89" w:rsidRDefault="00ED7B89" w:rsidP="00ED7B89">
      <w:pPr>
        <w:jc w:val="both"/>
        <w:rPr>
          <w:sz w:val="24"/>
          <w:szCs w:val="24"/>
        </w:rPr>
      </w:pPr>
    </w:p>
    <w:p w:rsidR="00ED7B89" w:rsidRDefault="00305AC0" w:rsidP="00ED7B89">
      <w:pPr>
        <w:jc w:val="both"/>
        <w:rPr>
          <w:sz w:val="24"/>
          <w:szCs w:val="24"/>
          <w:u w:val="single"/>
        </w:rPr>
      </w:pPr>
      <w:r w:rsidRPr="00305AC0">
        <w:rPr>
          <w:sz w:val="24"/>
          <w:szCs w:val="24"/>
          <w:u w:val="single"/>
        </w:rPr>
        <w:t xml:space="preserve">611.220(b) Eligibility, number and term. </w:t>
      </w:r>
    </w:p>
    <w:p w:rsidR="00305AC0" w:rsidRDefault="00305AC0" w:rsidP="00ED7B89">
      <w:pPr>
        <w:jc w:val="both"/>
        <w:rPr>
          <w:sz w:val="24"/>
          <w:szCs w:val="24"/>
          <w:u w:val="single"/>
        </w:rPr>
      </w:pPr>
    </w:p>
    <w:p w:rsidR="00305AC0" w:rsidRDefault="001D32BA" w:rsidP="00ED7B89">
      <w:pPr>
        <w:jc w:val="both"/>
        <w:rPr>
          <w:sz w:val="24"/>
          <w:szCs w:val="24"/>
        </w:rPr>
      </w:pPr>
      <w:r w:rsidRPr="001D32BA">
        <w:rPr>
          <w:sz w:val="24"/>
          <w:szCs w:val="24"/>
        </w:rPr>
        <w:t>(1)(</w:t>
      </w:r>
      <w:r w:rsidR="00305AC0" w:rsidRPr="001D32BA">
        <w:rPr>
          <w:sz w:val="24"/>
          <w:szCs w:val="24"/>
        </w:rPr>
        <w:t xml:space="preserve">i) </w:t>
      </w:r>
      <w:r w:rsidR="004D40AD">
        <w:rPr>
          <w:sz w:val="24"/>
          <w:szCs w:val="24"/>
        </w:rPr>
        <w:t xml:space="preserve">As stated above, ineligibility due to </w:t>
      </w:r>
      <w:r w:rsidRPr="001D32BA">
        <w:rPr>
          <w:sz w:val="24"/>
          <w:szCs w:val="24"/>
        </w:rPr>
        <w:t>immediate family member</w:t>
      </w:r>
      <w:r w:rsidR="004D40AD">
        <w:rPr>
          <w:sz w:val="24"/>
          <w:szCs w:val="24"/>
        </w:rPr>
        <w:t>s</w:t>
      </w:r>
      <w:r w:rsidRPr="001D32BA">
        <w:rPr>
          <w:sz w:val="24"/>
          <w:szCs w:val="24"/>
        </w:rPr>
        <w:t xml:space="preserve"> </w:t>
      </w:r>
      <w:r>
        <w:rPr>
          <w:sz w:val="24"/>
          <w:szCs w:val="24"/>
        </w:rPr>
        <w:t xml:space="preserve">is overly </w:t>
      </w:r>
      <w:r w:rsidR="00B2182A">
        <w:rPr>
          <w:sz w:val="24"/>
          <w:szCs w:val="24"/>
        </w:rPr>
        <w:t>expansive</w:t>
      </w:r>
      <w:r>
        <w:rPr>
          <w:sz w:val="24"/>
          <w:szCs w:val="24"/>
        </w:rPr>
        <w:t xml:space="preserve"> and should be limited to the </w:t>
      </w:r>
      <w:r w:rsidR="001C0A4E">
        <w:rPr>
          <w:sz w:val="24"/>
          <w:szCs w:val="24"/>
        </w:rPr>
        <w:t xml:space="preserve">Farm Credit System </w:t>
      </w:r>
      <w:r>
        <w:rPr>
          <w:sz w:val="24"/>
          <w:szCs w:val="24"/>
        </w:rPr>
        <w:t xml:space="preserve">institution in which the candidate may serve. For example, an outside director candidate for </w:t>
      </w:r>
      <w:r w:rsidR="003F16B2">
        <w:rPr>
          <w:sz w:val="24"/>
          <w:szCs w:val="24"/>
        </w:rPr>
        <w:t>FCW</w:t>
      </w:r>
      <w:r>
        <w:rPr>
          <w:sz w:val="24"/>
          <w:szCs w:val="24"/>
        </w:rPr>
        <w:t xml:space="preserve">, with a </w:t>
      </w:r>
      <w:r w:rsidR="001C0A4E">
        <w:rPr>
          <w:sz w:val="24"/>
          <w:szCs w:val="24"/>
        </w:rPr>
        <w:t>father-in-</w:t>
      </w:r>
      <w:r>
        <w:rPr>
          <w:sz w:val="24"/>
          <w:szCs w:val="24"/>
        </w:rPr>
        <w:t xml:space="preserve">law </w:t>
      </w:r>
      <w:r w:rsidR="00620D3C">
        <w:rPr>
          <w:sz w:val="24"/>
          <w:szCs w:val="24"/>
        </w:rPr>
        <w:t xml:space="preserve">with </w:t>
      </w:r>
      <w:r>
        <w:rPr>
          <w:sz w:val="24"/>
          <w:szCs w:val="24"/>
        </w:rPr>
        <w:t xml:space="preserve">a loan </w:t>
      </w:r>
      <w:r w:rsidR="00620D3C">
        <w:rPr>
          <w:sz w:val="24"/>
          <w:szCs w:val="24"/>
        </w:rPr>
        <w:t>from</w:t>
      </w:r>
      <w:r>
        <w:rPr>
          <w:sz w:val="24"/>
          <w:szCs w:val="24"/>
        </w:rPr>
        <w:t xml:space="preserve"> a completely separate association</w:t>
      </w:r>
      <w:r w:rsidR="00620D3C">
        <w:rPr>
          <w:sz w:val="24"/>
          <w:szCs w:val="24"/>
        </w:rPr>
        <w:t xml:space="preserve"> across the country</w:t>
      </w:r>
      <w:r>
        <w:rPr>
          <w:sz w:val="24"/>
          <w:szCs w:val="24"/>
        </w:rPr>
        <w:t xml:space="preserve">, would be barred from serving. </w:t>
      </w:r>
      <w:r w:rsidR="00620D3C" w:rsidRPr="00620D3C">
        <w:rPr>
          <w:sz w:val="24"/>
          <w:szCs w:val="24"/>
        </w:rPr>
        <w:t xml:space="preserve">We fail to see why a candidate should be excluded because </w:t>
      </w:r>
      <w:r w:rsidR="00620D3C">
        <w:rPr>
          <w:sz w:val="24"/>
          <w:szCs w:val="24"/>
        </w:rPr>
        <w:t xml:space="preserve">of this relationship.  </w:t>
      </w:r>
      <w:r>
        <w:rPr>
          <w:sz w:val="24"/>
          <w:szCs w:val="24"/>
        </w:rPr>
        <w:t xml:space="preserve">In many cases the candidate will </w:t>
      </w:r>
      <w:r w:rsidR="004D40AD">
        <w:rPr>
          <w:sz w:val="24"/>
          <w:szCs w:val="24"/>
        </w:rPr>
        <w:t xml:space="preserve">not </w:t>
      </w:r>
      <w:r>
        <w:rPr>
          <w:sz w:val="24"/>
          <w:szCs w:val="24"/>
        </w:rPr>
        <w:t xml:space="preserve">even know such a </w:t>
      </w:r>
      <w:r w:rsidR="00762D5B">
        <w:rPr>
          <w:sz w:val="24"/>
          <w:szCs w:val="24"/>
        </w:rPr>
        <w:t>connection</w:t>
      </w:r>
      <w:r>
        <w:rPr>
          <w:sz w:val="24"/>
          <w:szCs w:val="24"/>
        </w:rPr>
        <w:t xml:space="preserve"> exists. </w:t>
      </w:r>
    </w:p>
    <w:p w:rsidR="001D32BA" w:rsidRDefault="001D32BA" w:rsidP="00ED7B89">
      <w:pPr>
        <w:jc w:val="both"/>
        <w:rPr>
          <w:sz w:val="24"/>
          <w:szCs w:val="24"/>
        </w:rPr>
      </w:pPr>
    </w:p>
    <w:p w:rsidR="001D32BA" w:rsidRDefault="00762D5B" w:rsidP="001D32BA">
      <w:pPr>
        <w:jc w:val="both"/>
        <w:rPr>
          <w:sz w:val="24"/>
          <w:szCs w:val="24"/>
        </w:rPr>
      </w:pPr>
      <w:r>
        <w:rPr>
          <w:sz w:val="24"/>
          <w:szCs w:val="24"/>
        </w:rPr>
        <w:t>As stated above,</w:t>
      </w:r>
      <w:r w:rsidR="001D32BA">
        <w:rPr>
          <w:sz w:val="24"/>
          <w:szCs w:val="24"/>
        </w:rPr>
        <w:t xml:space="preserve"> exclusions for the candidate or </w:t>
      </w:r>
      <w:r w:rsidR="004D40AD">
        <w:rPr>
          <w:sz w:val="24"/>
          <w:szCs w:val="24"/>
        </w:rPr>
        <w:t xml:space="preserve">one with </w:t>
      </w:r>
      <w:r w:rsidR="001D32BA">
        <w:rPr>
          <w:sz w:val="24"/>
          <w:szCs w:val="24"/>
        </w:rPr>
        <w:t xml:space="preserve">an immediate family member with a controlling interest in an entity borrower or affiliated organization </w:t>
      </w:r>
      <w:r w:rsidR="004D40AD">
        <w:rPr>
          <w:sz w:val="24"/>
          <w:szCs w:val="24"/>
        </w:rPr>
        <w:t xml:space="preserve">should be </w:t>
      </w:r>
      <w:r w:rsidR="00431651">
        <w:rPr>
          <w:sz w:val="24"/>
          <w:szCs w:val="24"/>
        </w:rPr>
        <w:t xml:space="preserve">removed and instead </w:t>
      </w:r>
      <w:r w:rsidR="004D40AD">
        <w:rPr>
          <w:sz w:val="24"/>
          <w:szCs w:val="24"/>
        </w:rPr>
        <w:t xml:space="preserve">vetted under the standards of conduct </w:t>
      </w:r>
      <w:r>
        <w:rPr>
          <w:sz w:val="24"/>
          <w:szCs w:val="24"/>
        </w:rPr>
        <w:t>process. At the very least, these</w:t>
      </w:r>
      <w:r w:rsidR="004D40AD">
        <w:rPr>
          <w:sz w:val="24"/>
          <w:szCs w:val="24"/>
        </w:rPr>
        <w:t xml:space="preserve"> exclusions should only apply </w:t>
      </w:r>
      <w:r w:rsidR="001D32BA">
        <w:rPr>
          <w:sz w:val="24"/>
          <w:szCs w:val="24"/>
        </w:rPr>
        <w:t xml:space="preserve">to the institution in which the candidate may serve. </w:t>
      </w:r>
      <w:r w:rsidR="001D32BA" w:rsidRPr="001D32BA">
        <w:rPr>
          <w:sz w:val="24"/>
          <w:szCs w:val="24"/>
        </w:rPr>
        <w:t xml:space="preserve">Otherwise, this definition is overly broad and </w:t>
      </w:r>
      <w:r w:rsidR="009E4EDC">
        <w:rPr>
          <w:sz w:val="24"/>
          <w:szCs w:val="24"/>
        </w:rPr>
        <w:t>onerous</w:t>
      </w:r>
      <w:r w:rsidR="001C0A4E">
        <w:rPr>
          <w:sz w:val="24"/>
          <w:szCs w:val="24"/>
        </w:rPr>
        <w:t xml:space="preserve">. </w:t>
      </w:r>
      <w:r w:rsidR="004A0C80">
        <w:rPr>
          <w:sz w:val="24"/>
          <w:szCs w:val="24"/>
        </w:rPr>
        <w:t xml:space="preserve">Further </w:t>
      </w:r>
      <w:r>
        <w:rPr>
          <w:sz w:val="24"/>
          <w:szCs w:val="24"/>
        </w:rPr>
        <w:t>substantial revisions</w:t>
      </w:r>
      <w:r w:rsidR="001C0A4E">
        <w:rPr>
          <w:sz w:val="24"/>
          <w:szCs w:val="24"/>
        </w:rPr>
        <w:t xml:space="preserve"> for the </w:t>
      </w:r>
      <w:r w:rsidR="004A0C80">
        <w:rPr>
          <w:sz w:val="24"/>
          <w:szCs w:val="24"/>
        </w:rPr>
        <w:t xml:space="preserve">definition of affiliated organization </w:t>
      </w:r>
      <w:r>
        <w:rPr>
          <w:sz w:val="24"/>
          <w:szCs w:val="24"/>
        </w:rPr>
        <w:t xml:space="preserve">are needed </w:t>
      </w:r>
      <w:r w:rsidR="004A0C80">
        <w:rPr>
          <w:sz w:val="24"/>
          <w:szCs w:val="24"/>
        </w:rPr>
        <w:t xml:space="preserve">as discussed above. </w:t>
      </w:r>
    </w:p>
    <w:p w:rsidR="00762D5B" w:rsidRDefault="00762D5B" w:rsidP="001D32BA">
      <w:pPr>
        <w:jc w:val="both"/>
        <w:rPr>
          <w:sz w:val="24"/>
          <w:szCs w:val="24"/>
        </w:rPr>
      </w:pPr>
    </w:p>
    <w:p w:rsidR="00762D5B" w:rsidRDefault="00762D5B" w:rsidP="00762D5B">
      <w:pPr>
        <w:jc w:val="center"/>
        <w:rPr>
          <w:b/>
          <w:sz w:val="24"/>
          <w:szCs w:val="24"/>
          <w:u w:val="single"/>
        </w:rPr>
      </w:pPr>
      <w:r w:rsidRPr="00762D5B">
        <w:rPr>
          <w:b/>
          <w:sz w:val="24"/>
          <w:szCs w:val="24"/>
          <w:u w:val="single"/>
        </w:rPr>
        <w:t>Conclusion</w:t>
      </w:r>
    </w:p>
    <w:p w:rsidR="00BD4E00" w:rsidRPr="00762D5B" w:rsidRDefault="00BD4E00" w:rsidP="00762D5B">
      <w:pPr>
        <w:jc w:val="center"/>
        <w:rPr>
          <w:b/>
          <w:sz w:val="24"/>
          <w:szCs w:val="24"/>
          <w:u w:val="single"/>
        </w:rPr>
      </w:pPr>
    </w:p>
    <w:p w:rsidR="00B85F3F" w:rsidRDefault="00762D5B" w:rsidP="00ED7B89">
      <w:pPr>
        <w:jc w:val="both"/>
        <w:rPr>
          <w:sz w:val="24"/>
          <w:szCs w:val="24"/>
        </w:rPr>
      </w:pPr>
      <w:r>
        <w:rPr>
          <w:sz w:val="24"/>
          <w:szCs w:val="24"/>
        </w:rPr>
        <w:t>FCW</w:t>
      </w:r>
      <w:r w:rsidRPr="00762D5B">
        <w:rPr>
          <w:sz w:val="24"/>
          <w:szCs w:val="24"/>
        </w:rPr>
        <w:t xml:space="preserve"> supports a strong, proactive program by banks and associations to identify and select well-qualified, independent candidates for outside director positions.  We are unaware of situations in which outside directors lack the “independence” required by Congress in the Act. The intent of Congress and, until now the FCA, has been to fully engage outside directors in the affairs of the institution they serve.  Restricting the selection of, and participation by outside directors beyond the statutory requirements should be avoided.  As we have noted, a “standards of conduct” approach can be utilized to determine if borrowing relationships by family members compromise independence.  </w:t>
      </w:r>
      <w:r>
        <w:rPr>
          <w:sz w:val="24"/>
          <w:szCs w:val="24"/>
        </w:rPr>
        <w:t>The</w:t>
      </w:r>
      <w:r w:rsidR="00BD4E00">
        <w:rPr>
          <w:sz w:val="24"/>
          <w:szCs w:val="24"/>
        </w:rPr>
        <w:t xml:space="preserve"> restrictions imposed by the proposed r</w:t>
      </w:r>
      <w:r w:rsidRPr="00762D5B">
        <w:rPr>
          <w:sz w:val="24"/>
          <w:szCs w:val="24"/>
        </w:rPr>
        <w:t xml:space="preserve">ule </w:t>
      </w:r>
      <w:r>
        <w:rPr>
          <w:sz w:val="24"/>
          <w:szCs w:val="24"/>
        </w:rPr>
        <w:t xml:space="preserve">are deeply troubling and </w:t>
      </w:r>
      <w:r w:rsidRPr="00762D5B">
        <w:rPr>
          <w:sz w:val="24"/>
          <w:szCs w:val="24"/>
        </w:rPr>
        <w:t xml:space="preserve">will have a very serious, negative impact on the </w:t>
      </w:r>
      <w:r>
        <w:rPr>
          <w:sz w:val="24"/>
          <w:szCs w:val="24"/>
        </w:rPr>
        <w:t>FCW’s</w:t>
      </w:r>
      <w:r w:rsidRPr="00762D5B">
        <w:rPr>
          <w:sz w:val="24"/>
          <w:szCs w:val="24"/>
        </w:rPr>
        <w:t xml:space="preserve"> ability to attract otherwise </w:t>
      </w:r>
      <w:r>
        <w:rPr>
          <w:sz w:val="24"/>
          <w:szCs w:val="24"/>
        </w:rPr>
        <w:t>well qualified</w:t>
      </w:r>
      <w:r w:rsidRPr="00762D5B">
        <w:rPr>
          <w:sz w:val="24"/>
          <w:szCs w:val="24"/>
        </w:rPr>
        <w:t xml:space="preserve"> candidates for outside director seats.</w:t>
      </w:r>
    </w:p>
    <w:p w:rsidR="00BD4E00" w:rsidRPr="00762D5B" w:rsidRDefault="00BD4E00" w:rsidP="00ED7B89">
      <w:pPr>
        <w:jc w:val="both"/>
        <w:rPr>
          <w:sz w:val="24"/>
          <w:szCs w:val="24"/>
        </w:rPr>
      </w:pPr>
    </w:p>
    <w:p w:rsidR="00ED7B89" w:rsidRPr="00ED7B89" w:rsidRDefault="00ED7B89" w:rsidP="00ED7B89">
      <w:pPr>
        <w:jc w:val="both"/>
        <w:rPr>
          <w:sz w:val="24"/>
          <w:szCs w:val="24"/>
        </w:rPr>
      </w:pPr>
      <w:r w:rsidRPr="00ED7B89">
        <w:rPr>
          <w:sz w:val="24"/>
          <w:szCs w:val="24"/>
        </w:rPr>
        <w:t xml:space="preserve">Thank you again for allowing </w:t>
      </w:r>
      <w:r w:rsidR="003F16B2">
        <w:rPr>
          <w:sz w:val="24"/>
          <w:szCs w:val="24"/>
        </w:rPr>
        <w:t>FCW</w:t>
      </w:r>
      <w:r w:rsidRPr="00ED7B89">
        <w:rPr>
          <w:sz w:val="24"/>
          <w:szCs w:val="24"/>
        </w:rPr>
        <w:t xml:space="preserve"> the opportunity to comment on this important regulation regarding </w:t>
      </w:r>
      <w:r w:rsidR="001C7060">
        <w:rPr>
          <w:sz w:val="24"/>
          <w:szCs w:val="24"/>
        </w:rPr>
        <w:t>outside director eligibility</w:t>
      </w:r>
      <w:r w:rsidRPr="00ED7B89">
        <w:rPr>
          <w:sz w:val="24"/>
          <w:szCs w:val="24"/>
        </w:rPr>
        <w:t xml:space="preserve">.  We hope that these comments have provided FCA with some </w:t>
      </w:r>
      <w:r w:rsidR="001C7060">
        <w:rPr>
          <w:sz w:val="24"/>
          <w:szCs w:val="24"/>
        </w:rPr>
        <w:t xml:space="preserve">practical </w:t>
      </w:r>
      <w:r w:rsidRPr="00ED7B89">
        <w:rPr>
          <w:sz w:val="24"/>
          <w:szCs w:val="24"/>
        </w:rPr>
        <w:t xml:space="preserve">perspective on how the proposed rule will affect the System associations.  As </w:t>
      </w:r>
      <w:r w:rsidR="008263F7">
        <w:rPr>
          <w:sz w:val="24"/>
          <w:szCs w:val="24"/>
        </w:rPr>
        <w:t>expressed</w:t>
      </w:r>
      <w:r w:rsidR="001C7060">
        <w:rPr>
          <w:sz w:val="24"/>
          <w:szCs w:val="24"/>
        </w:rPr>
        <w:t xml:space="preserve"> above</w:t>
      </w:r>
      <w:r w:rsidR="00BD4E00">
        <w:rPr>
          <w:sz w:val="24"/>
          <w:szCs w:val="24"/>
        </w:rPr>
        <w:t>, FCW</w:t>
      </w:r>
      <w:r w:rsidRPr="00ED7B89">
        <w:rPr>
          <w:sz w:val="24"/>
          <w:szCs w:val="24"/>
        </w:rPr>
        <w:t xml:space="preserve"> find</w:t>
      </w:r>
      <w:r w:rsidR="00BD4E00">
        <w:rPr>
          <w:sz w:val="24"/>
          <w:szCs w:val="24"/>
        </w:rPr>
        <w:t>s</w:t>
      </w:r>
      <w:r w:rsidRPr="00ED7B89">
        <w:rPr>
          <w:sz w:val="24"/>
          <w:szCs w:val="24"/>
        </w:rPr>
        <w:t xml:space="preserve"> this topic to be of </w:t>
      </w:r>
      <w:r w:rsidR="008263F7">
        <w:rPr>
          <w:sz w:val="24"/>
          <w:szCs w:val="24"/>
        </w:rPr>
        <w:t>critical</w:t>
      </w:r>
      <w:r w:rsidRPr="00ED7B89">
        <w:rPr>
          <w:sz w:val="24"/>
          <w:szCs w:val="24"/>
        </w:rPr>
        <w:t xml:space="preserve"> importance and appreciates FCA’s consideration of the concerns and recommendations set forth in this letter. </w:t>
      </w:r>
    </w:p>
    <w:p w:rsidR="00ED7B89" w:rsidRPr="00ED7B89" w:rsidRDefault="00ED7B89" w:rsidP="00ED7B89">
      <w:pPr>
        <w:jc w:val="both"/>
        <w:rPr>
          <w:sz w:val="24"/>
          <w:szCs w:val="24"/>
        </w:rPr>
      </w:pPr>
    </w:p>
    <w:p w:rsidR="00ED7B89" w:rsidRPr="00ED7B89" w:rsidRDefault="00ED7B89" w:rsidP="00ED7B89">
      <w:pPr>
        <w:jc w:val="both"/>
        <w:rPr>
          <w:sz w:val="24"/>
          <w:szCs w:val="24"/>
        </w:rPr>
      </w:pPr>
      <w:r w:rsidRPr="00ED7B89">
        <w:rPr>
          <w:sz w:val="24"/>
          <w:szCs w:val="24"/>
        </w:rPr>
        <w:t xml:space="preserve">Please contact me if you wish to discuss our comments or require additional information in support of the comments. </w:t>
      </w:r>
    </w:p>
    <w:p w:rsidR="00ED7B89" w:rsidRPr="00ED7B89" w:rsidRDefault="00ED7B89" w:rsidP="00ED7B89">
      <w:pPr>
        <w:jc w:val="both"/>
        <w:rPr>
          <w:sz w:val="24"/>
          <w:szCs w:val="24"/>
        </w:rPr>
      </w:pPr>
    </w:p>
    <w:p w:rsidR="00ED7B89" w:rsidRDefault="00722D34" w:rsidP="00ED7B89">
      <w:pPr>
        <w:jc w:val="both"/>
        <w:rPr>
          <w:sz w:val="24"/>
          <w:szCs w:val="24"/>
        </w:rPr>
      </w:pPr>
      <w:r>
        <w:rPr>
          <w:noProof/>
        </w:rPr>
        <w:drawing>
          <wp:anchor distT="0" distB="0" distL="114300" distR="114300" simplePos="0" relativeHeight="251659264" behindDoc="1" locked="0" layoutInCell="1" allowOverlap="1" wp14:anchorId="5499ECFD" wp14:editId="2A60BF45">
            <wp:simplePos x="0" y="0"/>
            <wp:positionH relativeFrom="column">
              <wp:posOffset>-55719</wp:posOffset>
            </wp:positionH>
            <wp:positionV relativeFrom="paragraph">
              <wp:posOffset>205105</wp:posOffset>
            </wp:positionV>
            <wp:extent cx="1463040" cy="5143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t="11270" r="3668"/>
                    <a:stretch>
                      <a:fillRect/>
                    </a:stretch>
                  </pic:blipFill>
                  <pic:spPr bwMode="auto">
                    <a:xfrm>
                      <a:off x="0" y="0"/>
                      <a:ext cx="146304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60">
        <w:rPr>
          <w:sz w:val="24"/>
          <w:szCs w:val="24"/>
        </w:rPr>
        <w:t>Sincerely,</w:t>
      </w:r>
    </w:p>
    <w:p w:rsidR="00722D34" w:rsidRDefault="00722D34" w:rsidP="00ED7B89">
      <w:pPr>
        <w:jc w:val="both"/>
        <w:rPr>
          <w:sz w:val="24"/>
          <w:szCs w:val="24"/>
        </w:rPr>
      </w:pPr>
      <w:r w:rsidRPr="004F2049">
        <w:rPr>
          <w:noProof/>
          <w:sz w:val="24"/>
        </w:rPr>
        <w:drawing>
          <wp:anchor distT="0" distB="0" distL="114300" distR="114300" simplePos="0" relativeHeight="251658240" behindDoc="1" locked="0" layoutInCell="1" allowOverlap="1" wp14:anchorId="775DC814" wp14:editId="40910FF1">
            <wp:simplePos x="0" y="0"/>
            <wp:positionH relativeFrom="column">
              <wp:posOffset>3639185</wp:posOffset>
            </wp:positionH>
            <wp:positionV relativeFrom="paragraph">
              <wp:posOffset>101761</wp:posOffset>
            </wp:positionV>
            <wp:extent cx="1645920" cy="443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443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D34" w:rsidRPr="00ED7B89" w:rsidRDefault="00722D34" w:rsidP="00ED7B89">
      <w:pPr>
        <w:jc w:val="both"/>
        <w:rPr>
          <w:sz w:val="24"/>
          <w:szCs w:val="24"/>
        </w:rPr>
      </w:pPr>
    </w:p>
    <w:p w:rsidR="00ED7B89" w:rsidRPr="00ED7B89" w:rsidRDefault="00ED7B89" w:rsidP="00ED7B89">
      <w:pPr>
        <w:jc w:val="both"/>
        <w:rPr>
          <w:sz w:val="24"/>
          <w:szCs w:val="24"/>
        </w:rPr>
      </w:pPr>
    </w:p>
    <w:p w:rsidR="00ED7B89" w:rsidRPr="00ED7B89" w:rsidRDefault="00746898" w:rsidP="00ED7B89">
      <w:pPr>
        <w:jc w:val="both"/>
        <w:rPr>
          <w:sz w:val="24"/>
          <w:szCs w:val="24"/>
        </w:rPr>
      </w:pPr>
      <w:r>
        <w:rPr>
          <w:sz w:val="24"/>
          <w:szCs w:val="24"/>
        </w:rPr>
        <w:t>Joseph C. Airoso</w:t>
      </w:r>
      <w:r>
        <w:rPr>
          <w:sz w:val="24"/>
          <w:szCs w:val="24"/>
        </w:rPr>
        <w:tab/>
      </w:r>
      <w:r>
        <w:rPr>
          <w:sz w:val="24"/>
          <w:szCs w:val="24"/>
        </w:rPr>
        <w:tab/>
      </w:r>
      <w:r>
        <w:rPr>
          <w:sz w:val="24"/>
          <w:szCs w:val="24"/>
        </w:rPr>
        <w:tab/>
      </w:r>
      <w:r>
        <w:rPr>
          <w:sz w:val="24"/>
          <w:szCs w:val="24"/>
        </w:rPr>
        <w:tab/>
      </w:r>
      <w:r>
        <w:rPr>
          <w:sz w:val="24"/>
          <w:szCs w:val="24"/>
        </w:rPr>
        <w:tab/>
      </w:r>
      <w:r>
        <w:rPr>
          <w:sz w:val="24"/>
          <w:szCs w:val="24"/>
        </w:rPr>
        <w:tab/>
        <w:t>Mark D. Littlefield</w:t>
      </w:r>
    </w:p>
    <w:p w:rsidR="00ED7B89" w:rsidRPr="00ED7B89" w:rsidRDefault="00746898" w:rsidP="00ED7B89">
      <w:pPr>
        <w:jc w:val="both"/>
        <w:rPr>
          <w:sz w:val="24"/>
          <w:szCs w:val="24"/>
        </w:rPr>
      </w:pPr>
      <w:r>
        <w:rPr>
          <w:sz w:val="24"/>
          <w:szCs w:val="24"/>
        </w:rPr>
        <w:t>Chairman of the Board of Directors</w:t>
      </w:r>
      <w:r>
        <w:rPr>
          <w:sz w:val="24"/>
          <w:szCs w:val="24"/>
        </w:rPr>
        <w:tab/>
      </w:r>
      <w:r>
        <w:rPr>
          <w:sz w:val="24"/>
          <w:szCs w:val="24"/>
        </w:rPr>
        <w:tab/>
      </w:r>
      <w:r>
        <w:rPr>
          <w:sz w:val="24"/>
          <w:szCs w:val="24"/>
        </w:rPr>
        <w:tab/>
      </w:r>
      <w:r>
        <w:rPr>
          <w:sz w:val="24"/>
          <w:szCs w:val="24"/>
        </w:rPr>
        <w:tab/>
        <w:t>President and Chief Executive Officer</w:t>
      </w:r>
    </w:p>
    <w:p w:rsidR="00C370DB" w:rsidRDefault="00C370DB" w:rsidP="00C370DB">
      <w:pPr>
        <w:tabs>
          <w:tab w:val="left" w:pos="5760"/>
        </w:tabs>
        <w:rPr>
          <w:rFonts w:ascii="Arial" w:hAnsi="Arial" w:cs="Arial"/>
          <w:sz w:val="24"/>
          <w:szCs w:val="24"/>
        </w:rPr>
      </w:pPr>
    </w:p>
    <w:p w:rsidR="00C370DB" w:rsidRDefault="00C370DB" w:rsidP="00C370DB">
      <w:pPr>
        <w:jc w:val="both"/>
      </w:pPr>
    </w:p>
    <w:p w:rsidR="00C370DB" w:rsidRDefault="00C370DB" w:rsidP="00C370DB">
      <w:pPr>
        <w:jc w:val="both"/>
      </w:pPr>
    </w:p>
    <w:p w:rsidR="00C370DB" w:rsidRDefault="00C370DB" w:rsidP="00C370DB">
      <w:pPr>
        <w:tabs>
          <w:tab w:val="left" w:pos="5760"/>
        </w:tabs>
        <w:rPr>
          <w:sz w:val="24"/>
        </w:rPr>
      </w:pPr>
    </w:p>
    <w:p w:rsidR="00331E55" w:rsidRPr="00F10351" w:rsidRDefault="00331E55" w:rsidP="00F10351"/>
    <w:sectPr w:rsidR="00331E55" w:rsidRPr="00F10351" w:rsidSect="000B762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576" w:right="1296" w:bottom="57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3F" w:rsidRDefault="0063293F">
      <w:r>
        <w:separator/>
      </w:r>
    </w:p>
  </w:endnote>
  <w:endnote w:type="continuationSeparator" w:id="0">
    <w:p w:rsidR="0063293F" w:rsidRDefault="0063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DC" w:rsidRDefault="009E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26623"/>
      <w:docPartObj>
        <w:docPartGallery w:val="Page Numbers (Bottom of Page)"/>
        <w:docPartUnique/>
      </w:docPartObj>
    </w:sdtPr>
    <w:sdtEndPr>
      <w:rPr>
        <w:noProof/>
      </w:rPr>
    </w:sdtEndPr>
    <w:sdtContent>
      <w:p w:rsidR="00B27E21" w:rsidRDefault="00B27E21">
        <w:pPr>
          <w:pStyle w:val="Footer"/>
          <w:jc w:val="right"/>
        </w:pPr>
        <w:r>
          <w:fldChar w:fldCharType="begin"/>
        </w:r>
        <w:r>
          <w:instrText xml:space="preserve"> PAGE   \* MERGEFORMAT </w:instrText>
        </w:r>
        <w:r>
          <w:fldChar w:fldCharType="separate"/>
        </w:r>
        <w:r w:rsidR="0087567A">
          <w:rPr>
            <w:noProof/>
          </w:rPr>
          <w:t>3</w:t>
        </w:r>
        <w:r>
          <w:rPr>
            <w:noProof/>
          </w:rPr>
          <w:fldChar w:fldCharType="end"/>
        </w:r>
      </w:p>
    </w:sdtContent>
  </w:sdt>
  <w:p w:rsidR="00ED7B89" w:rsidRDefault="00ED7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B1" w:rsidRPr="00755EB4" w:rsidRDefault="00AB3DE0" w:rsidP="001928B1">
    <w:pPr>
      <w:pStyle w:val="BodyText"/>
      <w:pBdr>
        <w:top w:val="single" w:sz="4" w:space="1" w:color="auto"/>
      </w:pBdr>
      <w:tabs>
        <w:tab w:val="clear" w:pos="10170"/>
        <w:tab w:val="right" w:pos="9180"/>
      </w:tabs>
      <w:ind w:right="90"/>
      <w:rPr>
        <w:rFonts w:ascii="Calibri" w:hAnsi="Calibri"/>
        <w:sz w:val="18"/>
        <w:szCs w:val="18"/>
      </w:rPr>
    </w:pPr>
    <w:r w:rsidRPr="00755EB4">
      <w:rPr>
        <w:rFonts w:ascii="Calibri" w:hAnsi="Calibri"/>
        <w:noProof/>
      </w:rPr>
      <w:drawing>
        <wp:anchor distT="0" distB="0" distL="114300" distR="114300" simplePos="0" relativeHeight="251658240" behindDoc="1" locked="0" layoutInCell="1" allowOverlap="1" wp14:anchorId="6105648F" wp14:editId="26EFA24F">
          <wp:simplePos x="0" y="0"/>
          <wp:positionH relativeFrom="column">
            <wp:posOffset>5375910</wp:posOffset>
          </wp:positionH>
          <wp:positionV relativeFrom="paragraph">
            <wp:posOffset>32385</wp:posOffset>
          </wp:positionV>
          <wp:extent cx="672465" cy="751205"/>
          <wp:effectExtent l="0" t="0" r="0" b="0"/>
          <wp:wrapNone/>
          <wp:docPr id="7" name="Picture 7" descr="Farm_Credit_10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rm_Credit_100_logo"/>
                  <pic:cNvPicPr>
                    <a:picLocks noChangeAspect="1" noChangeArrowheads="1"/>
                  </pic:cNvPicPr>
                </pic:nvPicPr>
                <pic:blipFill>
                  <a:blip r:embed="rId1">
                    <a:extLst>
                      <a:ext uri="{28A0092B-C50C-407E-A947-70E740481C1C}">
                        <a14:useLocalDpi xmlns:a14="http://schemas.microsoft.com/office/drawing/2010/main" val="0"/>
                      </a:ext>
                    </a:extLst>
                  </a:blip>
                  <a:srcRect l="15408" t="17744" r="17966" b="23637"/>
                  <a:stretch>
                    <a:fillRect/>
                  </a:stretch>
                </pic:blipFill>
                <pic:spPr bwMode="auto">
                  <a:xfrm>
                    <a:off x="0" y="0"/>
                    <a:ext cx="67246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8B1" w:rsidRPr="00755EB4">
      <w:rPr>
        <w:rFonts w:ascii="Calibri" w:hAnsi="Calibri"/>
        <w:sz w:val="18"/>
        <w:szCs w:val="18"/>
      </w:rPr>
      <w:t>Farm Credit West, FLCA</w:t>
    </w:r>
    <w:r w:rsidR="001928B1" w:rsidRPr="00755EB4">
      <w:rPr>
        <w:rFonts w:ascii="Calibri" w:hAnsi="Calibri"/>
        <w:sz w:val="18"/>
        <w:szCs w:val="18"/>
      </w:rPr>
      <w:br/>
      <w:t>Farm Credit West, PCA</w:t>
    </w:r>
  </w:p>
  <w:p w:rsidR="001928B1" w:rsidRPr="00755EB4" w:rsidRDefault="001928B1" w:rsidP="001928B1">
    <w:pPr>
      <w:pStyle w:val="BodyText"/>
      <w:pBdr>
        <w:top w:val="single" w:sz="4" w:space="1" w:color="auto"/>
      </w:pBdr>
      <w:tabs>
        <w:tab w:val="clear" w:pos="10170"/>
        <w:tab w:val="right" w:pos="9180"/>
      </w:tabs>
      <w:ind w:right="90"/>
      <w:rPr>
        <w:rFonts w:ascii="Calibri" w:hAnsi="Calibri"/>
        <w:sz w:val="18"/>
        <w:szCs w:val="18"/>
      </w:rPr>
    </w:pPr>
    <w:r w:rsidRPr="00755EB4">
      <w:rPr>
        <w:rFonts w:ascii="Calibri" w:hAnsi="Calibri"/>
        <w:sz w:val="18"/>
        <w:szCs w:val="18"/>
      </w:rPr>
      <w:t>Farm Credit Services Southwest, ACA</w:t>
    </w:r>
    <w:r w:rsidRPr="00755EB4">
      <w:rPr>
        <w:rFonts w:ascii="Calibri" w:hAnsi="Calibri"/>
        <w:sz w:val="18"/>
        <w:szCs w:val="18"/>
      </w:rPr>
      <w:br/>
      <w:t>Subsidiaries of Farm Credit West, ACA</w:t>
    </w:r>
  </w:p>
  <w:p w:rsidR="001928B1" w:rsidRPr="00755EB4" w:rsidRDefault="001928B1" w:rsidP="001928B1">
    <w:pPr>
      <w:pStyle w:val="BodyText"/>
      <w:pBdr>
        <w:top w:val="single" w:sz="4" w:space="1" w:color="auto"/>
      </w:pBdr>
      <w:tabs>
        <w:tab w:val="clear" w:pos="10170"/>
        <w:tab w:val="right" w:pos="9180"/>
      </w:tabs>
      <w:ind w:right="90"/>
      <w:rPr>
        <w:rFonts w:ascii="Calibri" w:hAnsi="Calibri"/>
        <w:sz w:val="8"/>
        <w:szCs w:val="8"/>
      </w:rPr>
    </w:pPr>
  </w:p>
  <w:p w:rsidR="000B42E5" w:rsidRPr="00755EB4" w:rsidRDefault="001928B1" w:rsidP="001928B1">
    <w:pPr>
      <w:pStyle w:val="BodyText"/>
      <w:pBdr>
        <w:top w:val="single" w:sz="4" w:space="1" w:color="auto"/>
      </w:pBdr>
      <w:tabs>
        <w:tab w:val="clear" w:pos="10170"/>
        <w:tab w:val="right" w:pos="9180"/>
      </w:tabs>
      <w:ind w:right="90"/>
      <w:rPr>
        <w:rFonts w:ascii="Calibri" w:hAnsi="Calibri"/>
        <w:sz w:val="18"/>
        <w:szCs w:val="18"/>
      </w:rPr>
    </w:pPr>
    <w:r w:rsidRPr="00755EB4">
      <w:rPr>
        <w:rFonts w:ascii="Calibri" w:hAnsi="Calibri"/>
        <w:sz w:val="18"/>
        <w:szCs w:val="18"/>
      </w:rPr>
      <w:t>The Farm Credit 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3F" w:rsidRDefault="0063293F">
      <w:r>
        <w:separator/>
      </w:r>
    </w:p>
  </w:footnote>
  <w:footnote w:type="continuationSeparator" w:id="0">
    <w:p w:rsidR="0063293F" w:rsidRDefault="0063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DC" w:rsidRDefault="009E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EDC" w:rsidRDefault="009E4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E5" w:rsidRDefault="000B42E5">
    <w:pPr>
      <w:rPr>
        <w:sz w:val="16"/>
      </w:rPr>
    </w:pPr>
    <w:r>
      <w:rPr>
        <w:sz w:val="24"/>
      </w:rPr>
      <w:tab/>
    </w:r>
  </w:p>
  <w:p w:rsidR="000B42E5" w:rsidRDefault="00AB3DE0">
    <w:pPr>
      <w:pStyle w:val="Heading1"/>
      <w:rPr>
        <w:b w:val="0"/>
        <w:sz w:val="16"/>
      </w:rPr>
    </w:pPr>
    <w:r>
      <w:rPr>
        <w:noProof/>
      </w:rPr>
      <mc:AlternateContent>
        <mc:Choice Requires="wps">
          <w:drawing>
            <wp:anchor distT="0" distB="0" distL="114300" distR="114300" simplePos="0" relativeHeight="251657216" behindDoc="0" locked="0" layoutInCell="1" allowOverlap="1" wp14:anchorId="4FED8E3E" wp14:editId="6776B364">
              <wp:simplePos x="0" y="0"/>
              <wp:positionH relativeFrom="column">
                <wp:posOffset>4048125</wp:posOffset>
              </wp:positionH>
              <wp:positionV relativeFrom="paragraph">
                <wp:posOffset>45085</wp:posOffset>
              </wp:positionV>
              <wp:extent cx="210312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E45" w:rsidRPr="00755EB4" w:rsidRDefault="00714E45" w:rsidP="00714E45">
                          <w:pPr>
                            <w:rPr>
                              <w:rFonts w:ascii="Calibri" w:hAnsi="Calibri"/>
                              <w:sz w:val="18"/>
                              <w:szCs w:val="18"/>
                            </w:rPr>
                          </w:pPr>
                          <w:r w:rsidRPr="00755EB4">
                            <w:rPr>
                              <w:rFonts w:ascii="Calibri" w:hAnsi="Calibri"/>
                              <w:sz w:val="18"/>
                              <w:szCs w:val="18"/>
                            </w:rPr>
                            <w:t>Administrative Office</w:t>
                          </w:r>
                        </w:p>
                        <w:p w:rsidR="00714E45" w:rsidRPr="00755EB4" w:rsidRDefault="00FB034B" w:rsidP="00714E45">
                          <w:pPr>
                            <w:rPr>
                              <w:rFonts w:ascii="Calibri" w:hAnsi="Calibri"/>
                              <w:sz w:val="18"/>
                              <w:szCs w:val="18"/>
                            </w:rPr>
                          </w:pPr>
                          <w:r w:rsidRPr="00755EB4">
                            <w:rPr>
                              <w:rFonts w:ascii="Calibri" w:hAnsi="Calibri"/>
                              <w:sz w:val="18"/>
                              <w:szCs w:val="18"/>
                            </w:rPr>
                            <w:t>3755 Atherton Road</w:t>
                          </w:r>
                        </w:p>
                        <w:p w:rsidR="00714E45" w:rsidRPr="00755EB4" w:rsidRDefault="00FB034B" w:rsidP="00714E45">
                          <w:pPr>
                            <w:rPr>
                              <w:rFonts w:ascii="Calibri" w:hAnsi="Calibri"/>
                              <w:sz w:val="18"/>
                              <w:szCs w:val="18"/>
                            </w:rPr>
                          </w:pPr>
                          <w:r w:rsidRPr="00755EB4">
                            <w:rPr>
                              <w:rFonts w:ascii="Calibri" w:hAnsi="Calibri"/>
                              <w:sz w:val="18"/>
                              <w:szCs w:val="18"/>
                            </w:rPr>
                            <w:t>Rocklin</w:t>
                          </w:r>
                          <w:r w:rsidR="00714E45" w:rsidRPr="00755EB4">
                            <w:rPr>
                              <w:rFonts w:ascii="Calibri" w:hAnsi="Calibri"/>
                              <w:sz w:val="18"/>
                              <w:szCs w:val="18"/>
                            </w:rPr>
                            <w:t xml:space="preserve">, California </w:t>
                          </w:r>
                          <w:r w:rsidR="00261A05">
                            <w:rPr>
                              <w:rFonts w:ascii="Calibri" w:hAnsi="Calibri"/>
                              <w:sz w:val="18"/>
                              <w:szCs w:val="18"/>
                            </w:rPr>
                            <w:t>9576</w:t>
                          </w:r>
                          <w:r w:rsidRPr="00755EB4">
                            <w:rPr>
                              <w:rFonts w:ascii="Calibri" w:hAnsi="Calibri"/>
                              <w:sz w:val="18"/>
                              <w:szCs w:val="18"/>
                            </w:rPr>
                            <w:t>5</w:t>
                          </w:r>
                          <w:r w:rsidR="00714E45" w:rsidRPr="00755EB4">
                            <w:rPr>
                              <w:rFonts w:ascii="Calibri" w:hAnsi="Calibri"/>
                              <w:sz w:val="18"/>
                              <w:szCs w:val="18"/>
                            </w:rPr>
                            <w:br/>
                            <w:t>916-780-1166 FAX: 916-780-1820</w:t>
                          </w:r>
                        </w:p>
                        <w:p w:rsidR="00714E45" w:rsidRPr="00755EB4" w:rsidRDefault="0063293F" w:rsidP="00714E45">
                          <w:pPr>
                            <w:rPr>
                              <w:rFonts w:ascii="Calibri" w:hAnsi="Calibri"/>
                              <w:sz w:val="18"/>
                              <w:szCs w:val="18"/>
                            </w:rPr>
                          </w:pPr>
                          <w:hyperlink r:id="rId1" w:history="1">
                            <w:r w:rsidR="00714E45" w:rsidRPr="00755EB4">
                              <w:rPr>
                                <w:rFonts w:ascii="Calibri" w:hAnsi="Calibri"/>
                                <w:color w:val="000000"/>
                                <w:sz w:val="18"/>
                                <w:szCs w:val="18"/>
                              </w:rPr>
                              <w:t>www.FarmCreditWest.com</w:t>
                            </w:r>
                          </w:hyperlink>
                        </w:p>
                        <w:p w:rsidR="000B42E5" w:rsidRPr="00661DD6" w:rsidRDefault="000B42E5" w:rsidP="00661DD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D8E3E" id="_x0000_t202" coordsize="21600,21600" o:spt="202" path="m,l,21600r21600,l21600,xe">
              <v:stroke joinstyle="miter"/>
              <v:path gradientshapeok="t" o:connecttype="rect"/>
            </v:shapetype>
            <v:shape id="Text Box 6" o:spid="_x0000_s1026" type="#_x0000_t202" style="position:absolute;margin-left:318.75pt;margin-top:3.55pt;width:165.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hjgA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" stroked="f">
              <v:textbox>
                <w:txbxContent>
                  <w:p w:rsidR="00714E45" w:rsidRPr="00755EB4" w:rsidRDefault="00714E45" w:rsidP="00714E45">
                    <w:pPr>
                      <w:rPr>
                        <w:rFonts w:ascii="Calibri" w:hAnsi="Calibri"/>
                        <w:sz w:val="18"/>
                        <w:szCs w:val="18"/>
                      </w:rPr>
                    </w:pPr>
                    <w:r w:rsidRPr="00755EB4">
                      <w:rPr>
                        <w:rFonts w:ascii="Calibri" w:hAnsi="Calibri"/>
                        <w:sz w:val="18"/>
                        <w:szCs w:val="18"/>
                      </w:rPr>
                      <w:t>Administrative Office</w:t>
                    </w:r>
                  </w:p>
                  <w:p w:rsidR="00714E45" w:rsidRPr="00755EB4" w:rsidRDefault="00FB034B" w:rsidP="00714E45">
                    <w:pPr>
                      <w:rPr>
                        <w:rFonts w:ascii="Calibri" w:hAnsi="Calibri"/>
                        <w:sz w:val="18"/>
                        <w:szCs w:val="18"/>
                      </w:rPr>
                    </w:pPr>
                    <w:r w:rsidRPr="00755EB4">
                      <w:rPr>
                        <w:rFonts w:ascii="Calibri" w:hAnsi="Calibri"/>
                        <w:sz w:val="18"/>
                        <w:szCs w:val="18"/>
                      </w:rPr>
                      <w:t>3755 Atherton Road</w:t>
                    </w:r>
                  </w:p>
                  <w:p w:rsidR="00714E45" w:rsidRPr="00755EB4" w:rsidRDefault="00FB034B" w:rsidP="00714E45">
                    <w:pPr>
                      <w:rPr>
                        <w:rFonts w:ascii="Calibri" w:hAnsi="Calibri"/>
                        <w:sz w:val="18"/>
                        <w:szCs w:val="18"/>
                      </w:rPr>
                    </w:pPr>
                    <w:r w:rsidRPr="00755EB4">
                      <w:rPr>
                        <w:rFonts w:ascii="Calibri" w:hAnsi="Calibri"/>
                        <w:sz w:val="18"/>
                        <w:szCs w:val="18"/>
                      </w:rPr>
                      <w:t>Rocklin</w:t>
                    </w:r>
                    <w:r w:rsidR="00714E45" w:rsidRPr="00755EB4">
                      <w:rPr>
                        <w:rFonts w:ascii="Calibri" w:hAnsi="Calibri"/>
                        <w:sz w:val="18"/>
                        <w:szCs w:val="18"/>
                      </w:rPr>
                      <w:t xml:space="preserve">, California </w:t>
                    </w:r>
                    <w:r w:rsidR="00261A05">
                      <w:rPr>
                        <w:rFonts w:ascii="Calibri" w:hAnsi="Calibri"/>
                        <w:sz w:val="18"/>
                        <w:szCs w:val="18"/>
                      </w:rPr>
                      <w:t>9576</w:t>
                    </w:r>
                    <w:r w:rsidRPr="00755EB4">
                      <w:rPr>
                        <w:rFonts w:ascii="Calibri" w:hAnsi="Calibri"/>
                        <w:sz w:val="18"/>
                        <w:szCs w:val="18"/>
                      </w:rPr>
                      <w:t>5</w:t>
                    </w:r>
                    <w:r w:rsidR="00714E45" w:rsidRPr="00755EB4">
                      <w:rPr>
                        <w:rFonts w:ascii="Calibri" w:hAnsi="Calibri"/>
                        <w:sz w:val="18"/>
                        <w:szCs w:val="18"/>
                      </w:rPr>
                      <w:br/>
                      <w:t>916-780-1166 FAX: 916-780-1820</w:t>
                    </w:r>
                  </w:p>
                  <w:p w:rsidR="00714E45" w:rsidRPr="00755EB4" w:rsidRDefault="0063293F" w:rsidP="00714E45">
                    <w:pPr>
                      <w:rPr>
                        <w:rFonts w:ascii="Calibri" w:hAnsi="Calibri"/>
                        <w:sz w:val="18"/>
                        <w:szCs w:val="18"/>
                      </w:rPr>
                    </w:pPr>
                    <w:hyperlink r:id="rId2" w:history="1">
                      <w:r w:rsidR="00714E45" w:rsidRPr="00755EB4">
                        <w:rPr>
                          <w:rFonts w:ascii="Calibri" w:hAnsi="Calibri"/>
                          <w:color w:val="000000"/>
                          <w:sz w:val="18"/>
                          <w:szCs w:val="18"/>
                        </w:rPr>
                        <w:t>www.FarmCreditWest.com</w:t>
                      </w:r>
                    </w:hyperlink>
                  </w:p>
                  <w:p w:rsidR="000B42E5" w:rsidRPr="00661DD6" w:rsidRDefault="000B42E5" w:rsidP="00661DD6">
                    <w:pPr>
                      <w:rPr>
                        <w:szCs w:val="18"/>
                      </w:rPr>
                    </w:pPr>
                  </w:p>
                </w:txbxContent>
              </v:textbox>
            </v:shape>
          </w:pict>
        </mc:Fallback>
      </mc:AlternateContent>
    </w:r>
  </w:p>
  <w:p w:rsidR="000B42E5" w:rsidRDefault="00AB3DE0">
    <w:r>
      <w:rPr>
        <w:noProof/>
      </w:rPr>
      <w:drawing>
        <wp:inline distT="0" distB="0" distL="0" distR="0" wp14:anchorId="4FCCFF7C" wp14:editId="06721111">
          <wp:extent cx="2626995" cy="483235"/>
          <wp:effectExtent l="0" t="0" r="0" b="0"/>
          <wp:docPr id="1" name="Picture 1" descr="FCW_logo_REG_tagline_LTRHD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W_logo_REG_tagline_LTRHD_color-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6995" cy="483235"/>
                  </a:xfrm>
                  <a:prstGeom prst="rect">
                    <a:avLst/>
                  </a:prstGeom>
                  <a:noFill/>
                  <a:ln>
                    <a:noFill/>
                  </a:ln>
                </pic:spPr>
              </pic:pic>
            </a:graphicData>
          </a:graphic>
        </wp:inline>
      </w:drawing>
    </w:r>
  </w:p>
  <w:p w:rsidR="000B42E5" w:rsidRDefault="000B42E5"/>
  <w:p w:rsidR="000B42E5" w:rsidRDefault="000B42E5">
    <w:pPr>
      <w:pStyle w:val="Header"/>
      <w:pBdr>
        <w:bottom w:val="single" w:sz="4" w:space="1" w:color="auto"/>
      </w:pBdr>
      <w:tabs>
        <w:tab w:val="clear" w:pos="4320"/>
        <w:tab w:val="clear" w:pos="8640"/>
      </w:tabs>
      <w:ind w:left="-90"/>
      <w:rPr>
        <w:b/>
        <w:sz w:val="28"/>
      </w:rPr>
    </w:pPr>
  </w:p>
  <w:p w:rsidR="000B42E5" w:rsidRDefault="000B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8C9"/>
    <w:multiLevelType w:val="singleLevel"/>
    <w:tmpl w:val="A13C245A"/>
    <w:lvl w:ilvl="0">
      <w:start w:val="1"/>
      <w:numFmt w:val="lowerLetter"/>
      <w:lvlText w:val="%1."/>
      <w:lvlJc w:val="left"/>
      <w:pPr>
        <w:tabs>
          <w:tab w:val="num" w:pos="360"/>
        </w:tabs>
        <w:ind w:left="360" w:hanging="360"/>
      </w:pPr>
    </w:lvl>
  </w:abstractNum>
  <w:abstractNum w:abstractNumId="1" w15:restartNumberingAfterBreak="0">
    <w:nsid w:val="06093C72"/>
    <w:multiLevelType w:val="singleLevel"/>
    <w:tmpl w:val="4BBCDE42"/>
    <w:lvl w:ilvl="0">
      <w:start w:val="1"/>
      <w:numFmt w:val="lowerLetter"/>
      <w:lvlText w:val="%1."/>
      <w:lvlJc w:val="left"/>
      <w:pPr>
        <w:tabs>
          <w:tab w:val="num" w:pos="1443"/>
        </w:tabs>
        <w:ind w:left="1443" w:hanging="720"/>
      </w:pPr>
      <w:rPr>
        <w:rFonts w:hint="default"/>
      </w:rPr>
    </w:lvl>
  </w:abstractNum>
  <w:abstractNum w:abstractNumId="2" w15:restartNumberingAfterBreak="0">
    <w:nsid w:val="082C3893"/>
    <w:multiLevelType w:val="singleLevel"/>
    <w:tmpl w:val="0409000F"/>
    <w:lvl w:ilvl="0">
      <w:start w:val="22"/>
      <w:numFmt w:val="decimal"/>
      <w:lvlText w:val="%1."/>
      <w:lvlJc w:val="left"/>
      <w:pPr>
        <w:tabs>
          <w:tab w:val="num" w:pos="360"/>
        </w:tabs>
        <w:ind w:left="360" w:hanging="360"/>
      </w:pPr>
      <w:rPr>
        <w:rFonts w:hint="default"/>
      </w:rPr>
    </w:lvl>
  </w:abstractNum>
  <w:abstractNum w:abstractNumId="3" w15:restartNumberingAfterBreak="0">
    <w:nsid w:val="09C57A93"/>
    <w:multiLevelType w:val="singleLevel"/>
    <w:tmpl w:val="6ED8AD9A"/>
    <w:lvl w:ilvl="0">
      <w:start w:val="1"/>
      <w:numFmt w:val="lowerLetter"/>
      <w:lvlText w:val="%1."/>
      <w:lvlJc w:val="left"/>
      <w:pPr>
        <w:tabs>
          <w:tab w:val="num" w:pos="360"/>
        </w:tabs>
        <w:ind w:left="360" w:hanging="360"/>
      </w:pPr>
    </w:lvl>
  </w:abstractNum>
  <w:abstractNum w:abstractNumId="4" w15:restartNumberingAfterBreak="0">
    <w:nsid w:val="12AC7482"/>
    <w:multiLevelType w:val="singleLevel"/>
    <w:tmpl w:val="DED8C94C"/>
    <w:lvl w:ilvl="0">
      <w:start w:val="1"/>
      <w:numFmt w:val="lowerLetter"/>
      <w:lvlText w:val="%1."/>
      <w:lvlJc w:val="left"/>
      <w:pPr>
        <w:tabs>
          <w:tab w:val="num" w:pos="720"/>
        </w:tabs>
        <w:ind w:left="720" w:hanging="360"/>
      </w:pPr>
      <w:rPr>
        <w:rFonts w:hint="default"/>
      </w:rPr>
    </w:lvl>
  </w:abstractNum>
  <w:abstractNum w:abstractNumId="5" w15:restartNumberingAfterBreak="0">
    <w:nsid w:val="148C030B"/>
    <w:multiLevelType w:val="singleLevel"/>
    <w:tmpl w:val="A13C245A"/>
    <w:lvl w:ilvl="0">
      <w:start w:val="1"/>
      <w:numFmt w:val="lowerLetter"/>
      <w:lvlText w:val="%1."/>
      <w:lvlJc w:val="left"/>
      <w:pPr>
        <w:tabs>
          <w:tab w:val="num" w:pos="360"/>
        </w:tabs>
        <w:ind w:left="360" w:hanging="360"/>
      </w:pPr>
    </w:lvl>
  </w:abstractNum>
  <w:abstractNum w:abstractNumId="6" w15:restartNumberingAfterBreak="0">
    <w:nsid w:val="2DA432DF"/>
    <w:multiLevelType w:val="singleLevel"/>
    <w:tmpl w:val="7F7632E6"/>
    <w:lvl w:ilvl="0">
      <w:start w:val="1"/>
      <w:numFmt w:val="decimal"/>
      <w:lvlText w:val="%1."/>
      <w:lvlJc w:val="left"/>
      <w:pPr>
        <w:tabs>
          <w:tab w:val="num" w:pos="360"/>
        </w:tabs>
        <w:ind w:left="360" w:hanging="360"/>
      </w:pPr>
      <w:rPr>
        <w:rFonts w:ascii="Times New Roman" w:hAnsi="Times New Roman" w:hint="default"/>
        <w:sz w:val="20"/>
      </w:rPr>
    </w:lvl>
  </w:abstractNum>
  <w:abstractNum w:abstractNumId="7" w15:restartNumberingAfterBreak="0">
    <w:nsid w:val="2E6216A7"/>
    <w:multiLevelType w:val="singleLevel"/>
    <w:tmpl w:val="6902FDE6"/>
    <w:lvl w:ilvl="0">
      <w:start w:val="1"/>
      <w:numFmt w:val="lowerLetter"/>
      <w:lvlText w:val="%1."/>
      <w:lvlJc w:val="left"/>
      <w:pPr>
        <w:tabs>
          <w:tab w:val="num" w:pos="720"/>
        </w:tabs>
        <w:ind w:left="720" w:hanging="360"/>
      </w:pPr>
      <w:rPr>
        <w:rFonts w:hint="default"/>
      </w:rPr>
    </w:lvl>
  </w:abstractNum>
  <w:abstractNum w:abstractNumId="8" w15:restartNumberingAfterBreak="0">
    <w:nsid w:val="302C360E"/>
    <w:multiLevelType w:val="singleLevel"/>
    <w:tmpl w:val="6ED8AD9A"/>
    <w:lvl w:ilvl="0">
      <w:start w:val="1"/>
      <w:numFmt w:val="lowerLetter"/>
      <w:lvlText w:val="%1."/>
      <w:lvlJc w:val="left"/>
      <w:pPr>
        <w:tabs>
          <w:tab w:val="num" w:pos="360"/>
        </w:tabs>
        <w:ind w:left="360" w:hanging="360"/>
      </w:pPr>
    </w:lvl>
  </w:abstractNum>
  <w:abstractNum w:abstractNumId="9" w15:restartNumberingAfterBreak="0">
    <w:nsid w:val="31E4238F"/>
    <w:multiLevelType w:val="singleLevel"/>
    <w:tmpl w:val="ED069B0C"/>
    <w:lvl w:ilvl="0">
      <w:start w:val="3"/>
      <w:numFmt w:val="decimal"/>
      <w:lvlText w:val="%1."/>
      <w:lvlJc w:val="left"/>
      <w:pPr>
        <w:tabs>
          <w:tab w:val="num" w:pos="1008"/>
        </w:tabs>
        <w:ind w:left="1008" w:hanging="720"/>
      </w:pPr>
      <w:rPr>
        <w:rFonts w:ascii="Times New Roman" w:hAnsi="Times New Roman" w:hint="default"/>
        <w:b w:val="0"/>
        <w:i w:val="0"/>
        <w:sz w:val="24"/>
      </w:rPr>
    </w:lvl>
  </w:abstractNum>
  <w:abstractNum w:abstractNumId="10" w15:restartNumberingAfterBreak="0">
    <w:nsid w:val="3459016E"/>
    <w:multiLevelType w:val="singleLevel"/>
    <w:tmpl w:val="6ED8AD9A"/>
    <w:lvl w:ilvl="0">
      <w:start w:val="1"/>
      <w:numFmt w:val="lowerLetter"/>
      <w:lvlText w:val="%1."/>
      <w:lvlJc w:val="left"/>
      <w:pPr>
        <w:tabs>
          <w:tab w:val="num" w:pos="360"/>
        </w:tabs>
        <w:ind w:left="360" w:hanging="360"/>
      </w:pPr>
    </w:lvl>
  </w:abstractNum>
  <w:abstractNum w:abstractNumId="11" w15:restartNumberingAfterBreak="0">
    <w:nsid w:val="704559C7"/>
    <w:multiLevelType w:val="singleLevel"/>
    <w:tmpl w:val="A13C245A"/>
    <w:lvl w:ilvl="0">
      <w:start w:val="1"/>
      <w:numFmt w:val="lowerLetter"/>
      <w:lvlText w:val="%1."/>
      <w:lvlJc w:val="left"/>
      <w:pPr>
        <w:tabs>
          <w:tab w:val="num" w:pos="360"/>
        </w:tabs>
        <w:ind w:left="360" w:hanging="360"/>
      </w:pPr>
    </w:lvl>
  </w:abstractNum>
  <w:abstractNum w:abstractNumId="12" w15:restartNumberingAfterBreak="0">
    <w:nsid w:val="73FE3603"/>
    <w:multiLevelType w:val="singleLevel"/>
    <w:tmpl w:val="0BAC383C"/>
    <w:lvl w:ilvl="0">
      <w:start w:val="1"/>
      <w:numFmt w:val="lowerLetter"/>
      <w:lvlText w:val="%1."/>
      <w:lvlJc w:val="left"/>
      <w:pPr>
        <w:tabs>
          <w:tab w:val="num" w:pos="360"/>
        </w:tabs>
        <w:ind w:left="360" w:hanging="360"/>
      </w:pPr>
    </w:lvl>
  </w:abstractNum>
  <w:abstractNum w:abstractNumId="13" w15:restartNumberingAfterBreak="0">
    <w:nsid w:val="7BC91739"/>
    <w:multiLevelType w:val="singleLevel"/>
    <w:tmpl w:val="D4E84600"/>
    <w:lvl w:ilvl="0">
      <w:start w:val="12"/>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1"/>
  </w:num>
  <w:num w:numId="4">
    <w:abstractNumId w:val="13"/>
  </w:num>
  <w:num w:numId="5">
    <w:abstractNumId w:val="8"/>
  </w:num>
  <w:num w:numId="6">
    <w:abstractNumId w:val="12"/>
  </w:num>
  <w:num w:numId="7">
    <w:abstractNumId w:val="3"/>
  </w:num>
  <w:num w:numId="8">
    <w:abstractNumId w:val="10"/>
  </w:num>
  <w:num w:numId="9">
    <w:abstractNumId w:val="9"/>
  </w:num>
  <w:num w:numId="10">
    <w:abstractNumId w:val="5"/>
  </w:num>
  <w:num w:numId="11">
    <w:abstractNumId w:val="4"/>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EE"/>
    <w:rsid w:val="000123C0"/>
    <w:rsid w:val="00027640"/>
    <w:rsid w:val="00057563"/>
    <w:rsid w:val="00066410"/>
    <w:rsid w:val="00073CD8"/>
    <w:rsid w:val="000B42E5"/>
    <w:rsid w:val="000B762B"/>
    <w:rsid w:val="000D69E9"/>
    <w:rsid w:val="000E7A1A"/>
    <w:rsid w:val="001055D0"/>
    <w:rsid w:val="00107680"/>
    <w:rsid w:val="001312EE"/>
    <w:rsid w:val="00151606"/>
    <w:rsid w:val="0016065A"/>
    <w:rsid w:val="0018230D"/>
    <w:rsid w:val="00183041"/>
    <w:rsid w:val="00185CFF"/>
    <w:rsid w:val="00191D77"/>
    <w:rsid w:val="001927E2"/>
    <w:rsid w:val="001928B1"/>
    <w:rsid w:val="001948E9"/>
    <w:rsid w:val="001A5865"/>
    <w:rsid w:val="001B1739"/>
    <w:rsid w:val="001B1C0B"/>
    <w:rsid w:val="001B1D7A"/>
    <w:rsid w:val="001C0A4E"/>
    <w:rsid w:val="001C37BB"/>
    <w:rsid w:val="001C438F"/>
    <w:rsid w:val="001C7060"/>
    <w:rsid w:val="001D0EE4"/>
    <w:rsid w:val="001D32BA"/>
    <w:rsid w:val="001E7489"/>
    <w:rsid w:val="001F633B"/>
    <w:rsid w:val="00221A24"/>
    <w:rsid w:val="00253C07"/>
    <w:rsid w:val="00261A05"/>
    <w:rsid w:val="00265E88"/>
    <w:rsid w:val="002712C5"/>
    <w:rsid w:val="00284103"/>
    <w:rsid w:val="002A3C0D"/>
    <w:rsid w:val="002D1506"/>
    <w:rsid w:val="002D2963"/>
    <w:rsid w:val="00305AC0"/>
    <w:rsid w:val="00310522"/>
    <w:rsid w:val="00331E55"/>
    <w:rsid w:val="003336F7"/>
    <w:rsid w:val="00343869"/>
    <w:rsid w:val="00357E80"/>
    <w:rsid w:val="003972D1"/>
    <w:rsid w:val="003A7E7B"/>
    <w:rsid w:val="003C3415"/>
    <w:rsid w:val="003D2435"/>
    <w:rsid w:val="003F0F71"/>
    <w:rsid w:val="003F16B2"/>
    <w:rsid w:val="00407D2E"/>
    <w:rsid w:val="00411FB6"/>
    <w:rsid w:val="0041466F"/>
    <w:rsid w:val="004304C8"/>
    <w:rsid w:val="00430C66"/>
    <w:rsid w:val="00431651"/>
    <w:rsid w:val="00467F20"/>
    <w:rsid w:val="00471EFA"/>
    <w:rsid w:val="0048488B"/>
    <w:rsid w:val="00486AAC"/>
    <w:rsid w:val="004A0C80"/>
    <w:rsid w:val="004B484D"/>
    <w:rsid w:val="004D1F5F"/>
    <w:rsid w:val="004D40AD"/>
    <w:rsid w:val="004E0BC3"/>
    <w:rsid w:val="004E4DE0"/>
    <w:rsid w:val="005237F5"/>
    <w:rsid w:val="00524353"/>
    <w:rsid w:val="0056398D"/>
    <w:rsid w:val="005765F4"/>
    <w:rsid w:val="00585638"/>
    <w:rsid w:val="006168EA"/>
    <w:rsid w:val="00617BD9"/>
    <w:rsid w:val="00620D3C"/>
    <w:rsid w:val="0063293F"/>
    <w:rsid w:val="00632E7D"/>
    <w:rsid w:val="00661DD6"/>
    <w:rsid w:val="00684EAB"/>
    <w:rsid w:val="0069696F"/>
    <w:rsid w:val="0069778A"/>
    <w:rsid w:val="006A0117"/>
    <w:rsid w:val="006A33DF"/>
    <w:rsid w:val="006A76A4"/>
    <w:rsid w:val="006C0863"/>
    <w:rsid w:val="006D5DD7"/>
    <w:rsid w:val="006E4041"/>
    <w:rsid w:val="006E650F"/>
    <w:rsid w:val="006F2D1D"/>
    <w:rsid w:val="00705AAE"/>
    <w:rsid w:val="00714E45"/>
    <w:rsid w:val="00722D34"/>
    <w:rsid w:val="007339D4"/>
    <w:rsid w:val="00745ECF"/>
    <w:rsid w:val="00746898"/>
    <w:rsid w:val="00755CBF"/>
    <w:rsid w:val="00755EB4"/>
    <w:rsid w:val="00762A0B"/>
    <w:rsid w:val="00762D5B"/>
    <w:rsid w:val="00767F6E"/>
    <w:rsid w:val="00777599"/>
    <w:rsid w:val="00792F19"/>
    <w:rsid w:val="007E04A9"/>
    <w:rsid w:val="00816970"/>
    <w:rsid w:val="008263F7"/>
    <w:rsid w:val="008611D4"/>
    <w:rsid w:val="00863FC6"/>
    <w:rsid w:val="0087567A"/>
    <w:rsid w:val="00877709"/>
    <w:rsid w:val="00893D90"/>
    <w:rsid w:val="008A1DFB"/>
    <w:rsid w:val="008B229C"/>
    <w:rsid w:val="008C2559"/>
    <w:rsid w:val="008F59A3"/>
    <w:rsid w:val="009048B8"/>
    <w:rsid w:val="00914AA3"/>
    <w:rsid w:val="009248BF"/>
    <w:rsid w:val="00946017"/>
    <w:rsid w:val="0096141D"/>
    <w:rsid w:val="00964F1A"/>
    <w:rsid w:val="009758B3"/>
    <w:rsid w:val="009A4F14"/>
    <w:rsid w:val="009B75D8"/>
    <w:rsid w:val="009E4EDC"/>
    <w:rsid w:val="009E78AC"/>
    <w:rsid w:val="009F293D"/>
    <w:rsid w:val="009F6353"/>
    <w:rsid w:val="00A812D0"/>
    <w:rsid w:val="00A86FB2"/>
    <w:rsid w:val="00A95E20"/>
    <w:rsid w:val="00AA05A4"/>
    <w:rsid w:val="00AB3DE0"/>
    <w:rsid w:val="00AB6A88"/>
    <w:rsid w:val="00AD2044"/>
    <w:rsid w:val="00AE0C97"/>
    <w:rsid w:val="00B2182A"/>
    <w:rsid w:val="00B278D3"/>
    <w:rsid w:val="00B27E21"/>
    <w:rsid w:val="00B670C6"/>
    <w:rsid w:val="00B85F3F"/>
    <w:rsid w:val="00BA7A1A"/>
    <w:rsid w:val="00BC1AB9"/>
    <w:rsid w:val="00BD2D07"/>
    <w:rsid w:val="00BD4E00"/>
    <w:rsid w:val="00BF2774"/>
    <w:rsid w:val="00C17367"/>
    <w:rsid w:val="00C30E0C"/>
    <w:rsid w:val="00C370DB"/>
    <w:rsid w:val="00C3730C"/>
    <w:rsid w:val="00C644C6"/>
    <w:rsid w:val="00C85589"/>
    <w:rsid w:val="00C855A6"/>
    <w:rsid w:val="00C9780C"/>
    <w:rsid w:val="00CA0AF1"/>
    <w:rsid w:val="00CC134D"/>
    <w:rsid w:val="00CD2CB1"/>
    <w:rsid w:val="00CF133F"/>
    <w:rsid w:val="00D00D11"/>
    <w:rsid w:val="00D0411B"/>
    <w:rsid w:val="00D15C01"/>
    <w:rsid w:val="00D228E2"/>
    <w:rsid w:val="00D23104"/>
    <w:rsid w:val="00D82874"/>
    <w:rsid w:val="00DA25E8"/>
    <w:rsid w:val="00DB43B8"/>
    <w:rsid w:val="00DC0214"/>
    <w:rsid w:val="00DF3614"/>
    <w:rsid w:val="00E15BAE"/>
    <w:rsid w:val="00E41B47"/>
    <w:rsid w:val="00E55617"/>
    <w:rsid w:val="00E62EA2"/>
    <w:rsid w:val="00E67391"/>
    <w:rsid w:val="00E738E0"/>
    <w:rsid w:val="00E82A37"/>
    <w:rsid w:val="00EC24EB"/>
    <w:rsid w:val="00EC4753"/>
    <w:rsid w:val="00ED7B89"/>
    <w:rsid w:val="00EE1BB2"/>
    <w:rsid w:val="00EE30BF"/>
    <w:rsid w:val="00EE78D5"/>
    <w:rsid w:val="00F10351"/>
    <w:rsid w:val="00F238F2"/>
    <w:rsid w:val="00F33FDE"/>
    <w:rsid w:val="00F42805"/>
    <w:rsid w:val="00F465E2"/>
    <w:rsid w:val="00F605C2"/>
    <w:rsid w:val="00F628AE"/>
    <w:rsid w:val="00FA1F4A"/>
    <w:rsid w:val="00FA4C21"/>
    <w:rsid w:val="00FA5AFC"/>
    <w:rsid w:val="00FB034B"/>
    <w:rsid w:val="00FE1487"/>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FC526"/>
  <w15:chartTrackingRefBased/>
  <w15:docId w15:val="{617E5C89-E3E4-4064-9224-215D5CB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link w:val="BodyTextChar"/>
    <w:pPr>
      <w:tabs>
        <w:tab w:val="right" w:pos="10170"/>
      </w:tabs>
    </w:pPr>
    <w:rPr>
      <w:sz w:val="16"/>
    </w:rPr>
  </w:style>
  <w:style w:type="paragraph" w:styleId="BodyText2">
    <w:name w:val="Body Text 2"/>
    <w:basedOn w:val="Normal"/>
    <w:pPr>
      <w:tabs>
        <w:tab w:val="left" w:pos="432"/>
      </w:tabs>
      <w:spacing w:line="240" w:lineRule="exact"/>
      <w:jc w:val="both"/>
    </w:pPr>
    <w:rPr>
      <w:sz w:val="24"/>
    </w:rPr>
  </w:style>
  <w:style w:type="paragraph" w:styleId="BodyText3">
    <w:name w:val="Body Text 3"/>
    <w:basedOn w:val="Normal"/>
    <w:pPr>
      <w:tabs>
        <w:tab w:val="left" w:pos="432"/>
      </w:tabs>
      <w:spacing w:line="240" w:lineRule="exact"/>
      <w:jc w:val="both"/>
    </w:pPr>
  </w:style>
  <w:style w:type="paragraph" w:customStyle="1" w:styleId="DefaultText">
    <w:name w:val="Default Text"/>
    <w:basedOn w:val="Normal"/>
    <w:rsid w:val="00221A24"/>
    <w:rPr>
      <w:sz w:val="24"/>
    </w:rPr>
  </w:style>
  <w:style w:type="paragraph" w:styleId="PlainText">
    <w:name w:val="Plain Text"/>
    <w:basedOn w:val="Normal"/>
    <w:rsid w:val="00914AA3"/>
    <w:rPr>
      <w:rFonts w:ascii="Courier New" w:hAnsi="Courier New" w:cs="Courier New"/>
    </w:rPr>
  </w:style>
  <w:style w:type="paragraph" w:styleId="BalloonText">
    <w:name w:val="Balloon Text"/>
    <w:basedOn w:val="Normal"/>
    <w:link w:val="BalloonTextChar"/>
    <w:rsid w:val="00585638"/>
    <w:rPr>
      <w:rFonts w:ascii="Tahoma" w:hAnsi="Tahoma" w:cs="Tahoma"/>
      <w:sz w:val="16"/>
      <w:szCs w:val="16"/>
    </w:rPr>
  </w:style>
  <w:style w:type="character" w:customStyle="1" w:styleId="BalloonTextChar">
    <w:name w:val="Balloon Text Char"/>
    <w:link w:val="BalloonText"/>
    <w:rsid w:val="00585638"/>
    <w:rPr>
      <w:rFonts w:ascii="Tahoma" w:hAnsi="Tahoma" w:cs="Tahoma"/>
      <w:sz w:val="16"/>
      <w:szCs w:val="16"/>
    </w:rPr>
  </w:style>
  <w:style w:type="character" w:customStyle="1" w:styleId="BodyTextChar">
    <w:name w:val="Body Text Char"/>
    <w:link w:val="BodyText"/>
    <w:rsid w:val="001928B1"/>
    <w:rPr>
      <w:sz w:val="16"/>
    </w:rPr>
  </w:style>
  <w:style w:type="character" w:customStyle="1" w:styleId="HeaderChar">
    <w:name w:val="Header Char"/>
    <w:link w:val="Header"/>
    <w:uiPriority w:val="99"/>
    <w:rsid w:val="00ED7B89"/>
  </w:style>
  <w:style w:type="character" w:customStyle="1" w:styleId="FooterChar">
    <w:name w:val="Footer Char"/>
    <w:link w:val="Footer"/>
    <w:uiPriority w:val="99"/>
    <w:rsid w:val="00ED7B89"/>
  </w:style>
  <w:style w:type="character" w:styleId="CommentReference">
    <w:name w:val="annotation reference"/>
    <w:basedOn w:val="DefaultParagraphFont"/>
    <w:rsid w:val="00EE30BF"/>
    <w:rPr>
      <w:sz w:val="16"/>
      <w:szCs w:val="16"/>
    </w:rPr>
  </w:style>
  <w:style w:type="paragraph" w:styleId="CommentText">
    <w:name w:val="annotation text"/>
    <w:basedOn w:val="Normal"/>
    <w:link w:val="CommentTextChar"/>
    <w:rsid w:val="00EE30BF"/>
  </w:style>
  <w:style w:type="character" w:customStyle="1" w:styleId="CommentTextChar">
    <w:name w:val="Comment Text Char"/>
    <w:basedOn w:val="DefaultParagraphFont"/>
    <w:link w:val="CommentText"/>
    <w:rsid w:val="00EE30BF"/>
  </w:style>
  <w:style w:type="paragraph" w:styleId="CommentSubject">
    <w:name w:val="annotation subject"/>
    <w:basedOn w:val="CommentText"/>
    <w:next w:val="CommentText"/>
    <w:link w:val="CommentSubjectChar"/>
    <w:rsid w:val="00EE30BF"/>
    <w:rPr>
      <w:b/>
      <w:bCs/>
    </w:rPr>
  </w:style>
  <w:style w:type="character" w:customStyle="1" w:styleId="CommentSubjectChar">
    <w:name w:val="Comment Subject Char"/>
    <w:basedOn w:val="CommentTextChar"/>
    <w:link w:val="CommentSubject"/>
    <w:rsid w:val="00EE3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040">
      <w:bodyDiv w:val="1"/>
      <w:marLeft w:val="0"/>
      <w:marRight w:val="0"/>
      <w:marTop w:val="0"/>
      <w:marBottom w:val="0"/>
      <w:divBdr>
        <w:top w:val="none" w:sz="0" w:space="0" w:color="auto"/>
        <w:left w:val="none" w:sz="0" w:space="0" w:color="auto"/>
        <w:bottom w:val="none" w:sz="0" w:space="0" w:color="auto"/>
        <w:right w:val="none" w:sz="0" w:space="0" w:color="auto"/>
      </w:divBdr>
    </w:div>
    <w:div w:id="11764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entralcoastfarmcredit.com" TargetMode="External"/><Relationship Id="rId1" Type="http://schemas.openxmlformats.org/officeDocument/2006/relationships/hyperlink" Target="http://www.centralcoastfarmcre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7F398D2649C4E99BB0F75EEA359C0" ma:contentTypeVersion="22" ma:contentTypeDescription="Create a new document." ma:contentTypeScope="" ma:versionID="2a7c8fe00ad776a008291bb1e51870fb">
  <xsd:schema xmlns:xsd="http://www.w3.org/2001/XMLSchema" xmlns:xs="http://www.w3.org/2001/XMLSchema" xmlns:p="http://schemas.microsoft.com/office/2006/metadata/properties" xmlns:ns1="http://schemas.microsoft.com/sharepoint/v3" xmlns:ns2="41bc38c6-b7ca-49ef-bd44-8b57475f7b32" xmlns:ns3="fcb33760-5c4a-4c82-8ef9-578f2213f5c1" xmlns:ns4="http://schemas.microsoft.com/sharepoint/v4" targetNamespace="http://schemas.microsoft.com/office/2006/metadata/properties" ma:root="true" ma:fieldsID="7e067b19db439d2305278e003d0944aa" ns1:_="" ns2:_="" ns3:_="" ns4:_="">
    <xsd:import namespace="http://schemas.microsoft.com/sharepoint/v3"/>
    <xsd:import namespace="41bc38c6-b7ca-49ef-bd44-8b57475f7b32"/>
    <xsd:import namespace="fcb33760-5c4a-4c82-8ef9-578f2213f5c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ofa187bd22554e29b810241d64cb5613" minOccurs="0"/>
                <xsd:element ref="ns2:kaabd03d2bcf4c85a63f1d44bea9ff0b" minOccurs="0"/>
                <xsd:element ref="ns2:c03ed9103d4c4ed98c4822e5fbc14b68" minOccurs="0"/>
                <xsd:element ref="ns2:c5e5a51bd97a416cafe5e7e491e5fb7c" minOccurs="0"/>
                <xsd:element ref="ns4: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c38c6-b7ca-49ef-bd44-8b57475f7b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fa187bd22554e29b810241d64cb5613" ma:index="13" nillable="true" ma:taxonomy="true" ma:internalName="ofa187bd22554e29b810241d64cb5613" ma:taxonomyFieldName="Departments" ma:displayName="Departments" ma:default="" ma:fieldId="{8fa187bd-2255-4e29-b810-241d64cb5613}" ma:taxonomyMulti="true" ma:sspId="b8e9eadc-6ac8-4ef5-b52f-95b7f0fce47c" ma:termSetId="f3288aa3-f5d1-4952-9399-75c935f2253e" ma:anchorId="00000000-0000-0000-0000-000000000000" ma:open="false" ma:isKeyword="false">
      <xsd:complexType>
        <xsd:sequence>
          <xsd:element ref="pc:Terms" minOccurs="0" maxOccurs="1"/>
        </xsd:sequence>
      </xsd:complexType>
    </xsd:element>
    <xsd:element name="kaabd03d2bcf4c85a63f1d44bea9ff0b" ma:index="15" nillable="true" ma:taxonomy="true" ma:internalName="kaabd03d2bcf4c85a63f1d44bea9ff0b" ma:taxonomyFieldName="Document_x0020_Type" ma:displayName="Document Type" ma:default="" ma:fieldId="{4aabd03d-2bcf-4c85-a63f-1d44bea9ff0b}" ma:sspId="b8e9eadc-6ac8-4ef5-b52f-95b7f0fce47c" ma:termSetId="6761c712-2b88-4ea5-b1e2-e785e6309c51" ma:anchorId="00000000-0000-0000-0000-000000000000" ma:open="false" ma:isKeyword="false">
      <xsd:complexType>
        <xsd:sequence>
          <xsd:element ref="pc:Terms" minOccurs="0" maxOccurs="1"/>
        </xsd:sequence>
      </xsd:complexType>
    </xsd:element>
    <xsd:element name="c03ed9103d4c4ed98c4822e5fbc14b68" ma:index="17" nillable="true" ma:taxonomy="true" ma:internalName="c03ed9103d4c4ed98c4822e5fbc14b68" ma:taxonomyFieldName="Manual_x0020_Type" ma:displayName="Manual Type" ma:default="" ma:fieldId="{c03ed910-3d4c-4ed9-8c48-22e5fbc14b68}" ma:sspId="b8e9eadc-6ac8-4ef5-b52f-95b7f0fce47c" ma:termSetId="a8454ec4-c5e3-4ae2-aa91-bc4e959f65d2" ma:anchorId="00000000-0000-0000-0000-000000000000" ma:open="false" ma:isKeyword="false">
      <xsd:complexType>
        <xsd:sequence>
          <xsd:element ref="pc:Terms" minOccurs="0" maxOccurs="1"/>
        </xsd:sequence>
      </xsd:complexType>
    </xsd:element>
    <xsd:element name="c5e5a51bd97a416cafe5e7e491e5fb7c" ma:index="19" nillable="true" ma:taxonomy="true" ma:internalName="c5e5a51bd97a416cafe5e7e491e5fb7c" ma:taxonomyFieldName="Topics" ma:displayName="Topics" ma:default="" ma:fieldId="{c5e5a51b-d97a-416c-afe5-e7e491e5fb7c}" ma:sspId="b8e9eadc-6ac8-4ef5-b52f-95b7f0fce47c" ma:termSetId="1fe830d3-109b-4f4c-9096-ce62647fe8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33760-5c4a-4c82-8ef9-578f2213f5c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fd82fbc-0391-4aa8-8b71-44959a4d5cd5}" ma:internalName="TaxCatchAll" ma:showField="CatchAllData" ma:web="41bc38c6-b7ca-49ef-bd44-8b57475f7b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b33760-5c4a-4c82-8ef9-578f2213f5c1"/>
    <ofa187bd22554e29b810241d64cb5613 xmlns="41bc38c6-b7ca-49ef-bd44-8b57475f7b32">
      <Terms xmlns="http://schemas.microsoft.com/office/infopath/2007/PartnerControls"/>
    </ofa187bd22554e29b810241d64cb5613>
    <c5e5a51bd97a416cafe5e7e491e5fb7c xmlns="41bc38c6-b7ca-49ef-bd44-8b57475f7b32">
      <Terms xmlns="http://schemas.microsoft.com/office/infopath/2007/PartnerControls"/>
    </c5e5a51bd97a416cafe5e7e491e5fb7c>
    <IconOverlay xmlns="http://schemas.microsoft.com/sharepoint/v4" xsi:nil="true"/>
    <kaabd03d2bcf4c85a63f1d44bea9ff0b xmlns="41bc38c6-b7ca-49ef-bd44-8b57475f7b32">
      <Terms xmlns="http://schemas.microsoft.com/office/infopath/2007/PartnerControls"/>
    </kaabd03d2bcf4c85a63f1d44bea9ff0b>
    <c03ed9103d4c4ed98c4822e5fbc14b68 xmlns="41bc38c6-b7ca-49ef-bd44-8b57475f7b32">
      <Terms xmlns="http://schemas.microsoft.com/office/infopath/2007/PartnerControls"/>
    </c03ed9103d4c4ed98c4822e5fbc14b68>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7413-ED67-4FA2-9C61-C301A3859401}">
  <ds:schemaRefs>
    <ds:schemaRef ds:uri="http://schemas.microsoft.com/sharepoint/v3/contenttype/forms"/>
  </ds:schemaRefs>
</ds:datastoreItem>
</file>

<file path=customXml/itemProps2.xml><?xml version="1.0" encoding="utf-8"?>
<ds:datastoreItem xmlns:ds="http://schemas.openxmlformats.org/officeDocument/2006/customXml" ds:itemID="{7DC4A10B-EF0C-40C3-9827-7100F2F6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c38c6-b7ca-49ef-bd44-8b57475f7b32"/>
    <ds:schemaRef ds:uri="fcb33760-5c4a-4c82-8ef9-578f2213f5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BEC4B-22DD-4C3F-B338-0E46E0A6ADB4}">
  <ds:schemaRefs>
    <ds:schemaRef ds:uri="http://schemas.microsoft.com/office/2006/metadata/properties"/>
    <ds:schemaRef ds:uri="http://schemas.microsoft.com/office/infopath/2007/PartnerControls"/>
    <ds:schemaRef ds:uri="fcb33760-5c4a-4c82-8ef9-578f2213f5c1"/>
    <ds:schemaRef ds:uri="41bc38c6-b7ca-49ef-bd44-8b57475f7b32"/>
    <ds:schemaRef ds:uri="http://schemas.microsoft.com/sharepoint/v4"/>
  </ds:schemaRefs>
</ds:datastoreItem>
</file>

<file path=customXml/itemProps4.xml><?xml version="1.0" encoding="utf-8"?>
<ds:datastoreItem xmlns:ds="http://schemas.openxmlformats.org/officeDocument/2006/customXml" ds:itemID="{59E6F4AF-B8A8-4BC7-8B32-1268B25DA5D9}">
  <ds:schemaRefs>
    <ds:schemaRef ds:uri="http://schemas.microsoft.com/sharepoint/events"/>
  </ds:schemaRefs>
</ds:datastoreItem>
</file>

<file path=customXml/itemProps5.xml><?xml version="1.0" encoding="utf-8"?>
<ds:datastoreItem xmlns:ds="http://schemas.openxmlformats.org/officeDocument/2006/customXml" ds:itemID="{45DCBAE9-D42A-43C2-97DC-CCAA530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Letterhead Rocklin (Rev. 5-2016)</vt:lpstr>
    </vt:vector>
  </TitlesOfParts>
  <Company>Farm Credit West</Company>
  <LinksUpToDate>false</LinksUpToDate>
  <CharactersWithSpaces>10207</CharactersWithSpaces>
  <SharedDoc>false</SharedDoc>
  <HLinks>
    <vt:vector size="6" baseType="variant">
      <vt:variant>
        <vt:i4>3211318</vt:i4>
      </vt:variant>
      <vt:variant>
        <vt:i4>0</vt:i4>
      </vt:variant>
      <vt:variant>
        <vt:i4>0</vt:i4>
      </vt:variant>
      <vt:variant>
        <vt:i4>5</vt:i4>
      </vt:variant>
      <vt:variant>
        <vt:lpwstr>http://www.centralcoastfarmcredit.com/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Rocklin (Rev. 5-2016)</dc:title>
  <dc:subject>Letterhead - Rocklin Admin Office</dc:subject>
  <dc:creator>Marketing Director</dc:creator>
  <cp:keywords>Letterhead</cp:keywords>
  <cp:lastModifiedBy>Udell, Norma</cp:lastModifiedBy>
  <cp:revision>2</cp:revision>
  <cp:lastPrinted>2018-10-17T21:06:00Z</cp:lastPrinted>
  <dcterms:created xsi:type="dcterms:W3CDTF">2018-10-23T13:42:00Z</dcterms:created>
  <dcterms:modified xsi:type="dcterms:W3CDTF">2018-10-23T13:42:00Z</dcterms:modified>
  <cp:category>Marketing</cp:category>
</cp:coreProperties>
</file>