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1B401" w14:textId="77777777" w:rsidR="00BB14E9" w:rsidRDefault="00BB14E9" w:rsidP="009958F5">
      <w:pPr>
        <w:spacing w:line="240" w:lineRule="auto"/>
      </w:pPr>
    </w:p>
    <w:p w14:paraId="39625509" w14:textId="77777777" w:rsidR="00BB14E9" w:rsidRDefault="00BB14E9" w:rsidP="009958F5">
      <w:pPr>
        <w:spacing w:line="240" w:lineRule="auto"/>
      </w:pPr>
    </w:p>
    <w:p w14:paraId="0A8014A2" w14:textId="77777777" w:rsidR="00BB14E9" w:rsidRDefault="00BB14E9" w:rsidP="009958F5">
      <w:pPr>
        <w:spacing w:line="240" w:lineRule="auto"/>
      </w:pPr>
    </w:p>
    <w:p w14:paraId="6BEF80C0" w14:textId="77777777" w:rsidR="00AE1FF9" w:rsidRDefault="00AE1FF9" w:rsidP="009958F5">
      <w:pPr>
        <w:spacing w:line="240" w:lineRule="auto"/>
      </w:pPr>
    </w:p>
    <w:p w14:paraId="7653A1DB" w14:textId="51846C3F" w:rsidR="00AE1FF9" w:rsidRDefault="00AE1FF9" w:rsidP="009958F5">
      <w:pPr>
        <w:spacing w:line="240" w:lineRule="auto"/>
      </w:pPr>
    </w:p>
    <w:p w14:paraId="60398EF7" w14:textId="77777777" w:rsidR="00890417" w:rsidRDefault="00890417" w:rsidP="009958F5">
      <w:pPr>
        <w:spacing w:line="240" w:lineRule="auto"/>
      </w:pPr>
    </w:p>
    <w:p w14:paraId="6F44F6FC" w14:textId="246CCB03" w:rsidR="009958F5" w:rsidRPr="00EE27E4" w:rsidRDefault="00A972B5" w:rsidP="009958F5">
      <w:pPr>
        <w:spacing w:line="240" w:lineRule="auto"/>
        <w:rPr>
          <w:rFonts w:cstheme="minorHAnsi"/>
        </w:rPr>
      </w:pPr>
      <w:r w:rsidRPr="00EE27E4">
        <w:rPr>
          <w:rFonts w:cstheme="minorHAnsi"/>
        </w:rPr>
        <w:t xml:space="preserve">September </w:t>
      </w:r>
      <w:r w:rsidR="00890417" w:rsidRPr="00EE27E4">
        <w:rPr>
          <w:rFonts w:cstheme="minorHAnsi"/>
        </w:rPr>
        <w:t>2</w:t>
      </w:r>
      <w:r w:rsidRPr="00EE27E4">
        <w:rPr>
          <w:rFonts w:cstheme="minorHAnsi"/>
        </w:rPr>
        <w:t>6</w:t>
      </w:r>
      <w:r w:rsidR="009958F5" w:rsidRPr="00EE27E4">
        <w:rPr>
          <w:rFonts w:cstheme="minorHAnsi"/>
        </w:rPr>
        <w:t>, 2022</w:t>
      </w:r>
    </w:p>
    <w:p w14:paraId="43C41D54" w14:textId="0DD7FC02" w:rsidR="009958F5" w:rsidRPr="00EE27E4" w:rsidRDefault="009958F5" w:rsidP="009958F5">
      <w:pPr>
        <w:spacing w:line="240" w:lineRule="auto"/>
        <w:rPr>
          <w:rFonts w:cstheme="minorHAnsi"/>
        </w:rPr>
      </w:pPr>
    </w:p>
    <w:p w14:paraId="55A5FC0D" w14:textId="77777777" w:rsidR="009958F5" w:rsidRPr="00EE27E4" w:rsidRDefault="009958F5" w:rsidP="009958F5">
      <w:pPr>
        <w:spacing w:line="240" w:lineRule="auto"/>
        <w:rPr>
          <w:rFonts w:cstheme="minorHAnsi"/>
        </w:rPr>
      </w:pPr>
      <w:r w:rsidRPr="00EE27E4">
        <w:rPr>
          <w:rFonts w:cstheme="minorHAnsi"/>
          <w:i/>
          <w:iCs/>
        </w:rPr>
        <w:t>Via Electronic Submission</w:t>
      </w:r>
    </w:p>
    <w:p w14:paraId="5BC36513" w14:textId="77777777" w:rsidR="009958F5" w:rsidRPr="00EE27E4" w:rsidRDefault="009958F5" w:rsidP="009958F5">
      <w:pPr>
        <w:spacing w:line="240" w:lineRule="auto"/>
        <w:rPr>
          <w:rFonts w:cstheme="minorHAnsi"/>
        </w:rPr>
      </w:pPr>
    </w:p>
    <w:p w14:paraId="72096862" w14:textId="77777777" w:rsidR="009958F5" w:rsidRPr="00EE27E4" w:rsidRDefault="009958F5" w:rsidP="009958F5">
      <w:pPr>
        <w:spacing w:line="240" w:lineRule="auto"/>
        <w:rPr>
          <w:rFonts w:cstheme="minorHAnsi"/>
        </w:rPr>
      </w:pPr>
    </w:p>
    <w:p w14:paraId="440DC2CF" w14:textId="2512473F" w:rsidR="008C4B82" w:rsidRPr="00EE27E4" w:rsidRDefault="00AE10A0" w:rsidP="00AE10A0">
      <w:pPr>
        <w:spacing w:line="240" w:lineRule="auto"/>
        <w:rPr>
          <w:rFonts w:cstheme="minorHAnsi"/>
        </w:rPr>
      </w:pPr>
      <w:r w:rsidRPr="00EE27E4">
        <w:rPr>
          <w:rFonts w:cstheme="minorHAnsi"/>
        </w:rPr>
        <w:t>Autumn R. Agans, Deputy Director</w:t>
      </w:r>
    </w:p>
    <w:p w14:paraId="09D5D36C" w14:textId="1B05DE9C" w:rsidR="00AE10A0" w:rsidRPr="00EE27E4" w:rsidRDefault="00AE10A0" w:rsidP="00AE10A0">
      <w:pPr>
        <w:spacing w:line="240" w:lineRule="auto"/>
        <w:rPr>
          <w:rFonts w:cstheme="minorHAnsi"/>
        </w:rPr>
      </w:pPr>
      <w:r w:rsidRPr="00EE27E4">
        <w:rPr>
          <w:rFonts w:cstheme="minorHAnsi"/>
        </w:rPr>
        <w:t xml:space="preserve">Office of Regulatory Policy </w:t>
      </w:r>
    </w:p>
    <w:p w14:paraId="01A9C9D7" w14:textId="77777777" w:rsidR="008C4B82" w:rsidRPr="00EE27E4" w:rsidRDefault="00AE10A0" w:rsidP="00AE10A0">
      <w:pPr>
        <w:spacing w:line="240" w:lineRule="auto"/>
        <w:rPr>
          <w:rFonts w:cstheme="minorHAnsi"/>
        </w:rPr>
      </w:pPr>
      <w:r w:rsidRPr="00EE27E4">
        <w:rPr>
          <w:rFonts w:cstheme="minorHAnsi"/>
        </w:rPr>
        <w:t>Farm Credit Administration</w:t>
      </w:r>
    </w:p>
    <w:p w14:paraId="4C21A3BB" w14:textId="77777777" w:rsidR="008C4B82" w:rsidRPr="00EE27E4" w:rsidRDefault="00AE10A0" w:rsidP="00AE10A0">
      <w:pPr>
        <w:spacing w:line="240" w:lineRule="auto"/>
        <w:rPr>
          <w:rFonts w:cstheme="minorHAnsi"/>
        </w:rPr>
      </w:pPr>
      <w:r w:rsidRPr="00EE27E4">
        <w:rPr>
          <w:rFonts w:cstheme="minorHAnsi"/>
        </w:rPr>
        <w:t>1501 Farm Credit Drive</w:t>
      </w:r>
    </w:p>
    <w:p w14:paraId="7E72305E" w14:textId="45477FCC" w:rsidR="00AE10A0" w:rsidRPr="00EE27E4" w:rsidRDefault="00AE10A0" w:rsidP="00AE10A0">
      <w:pPr>
        <w:spacing w:line="240" w:lineRule="auto"/>
        <w:rPr>
          <w:rFonts w:cstheme="minorHAnsi"/>
        </w:rPr>
      </w:pPr>
      <w:r w:rsidRPr="00EE27E4">
        <w:rPr>
          <w:rFonts w:cstheme="minorHAnsi"/>
        </w:rPr>
        <w:t>McLean, VA 22102–5090</w:t>
      </w:r>
    </w:p>
    <w:p w14:paraId="5D784603" w14:textId="77777777" w:rsidR="00AE10A0" w:rsidRPr="00EE27E4" w:rsidRDefault="00AE10A0" w:rsidP="009958F5">
      <w:pPr>
        <w:spacing w:line="240" w:lineRule="auto"/>
        <w:rPr>
          <w:rFonts w:cstheme="minorHAnsi"/>
        </w:rPr>
      </w:pPr>
    </w:p>
    <w:p w14:paraId="700EB95C" w14:textId="409C2104" w:rsidR="009958F5" w:rsidRPr="00EE27E4" w:rsidRDefault="009958F5" w:rsidP="009958F5">
      <w:pPr>
        <w:spacing w:line="240" w:lineRule="auto"/>
        <w:rPr>
          <w:rFonts w:cstheme="minorHAnsi"/>
          <w:b/>
          <w:bCs/>
        </w:rPr>
      </w:pPr>
      <w:r w:rsidRPr="00EE27E4">
        <w:rPr>
          <w:rFonts w:cstheme="minorHAnsi"/>
          <w:b/>
          <w:bCs/>
        </w:rPr>
        <w:t xml:space="preserve">RE: </w:t>
      </w:r>
      <w:r w:rsidR="000F3CFD" w:rsidRPr="00EE27E4">
        <w:rPr>
          <w:rFonts w:cstheme="minorHAnsi"/>
          <w:b/>
          <w:bCs/>
        </w:rPr>
        <w:t>Cyber Risk Management</w:t>
      </w:r>
      <w:r w:rsidR="001D0B57" w:rsidRPr="00EE27E4">
        <w:rPr>
          <w:rFonts w:cstheme="minorHAnsi"/>
          <w:b/>
          <w:bCs/>
        </w:rPr>
        <w:t xml:space="preserve"> </w:t>
      </w:r>
      <w:r w:rsidRPr="00EE27E4">
        <w:rPr>
          <w:rFonts w:cstheme="minorHAnsi"/>
          <w:b/>
          <w:bCs/>
          <w:shd w:val="clear" w:color="auto" w:fill="FFFFFF"/>
        </w:rPr>
        <w:t>—</w:t>
      </w:r>
      <w:r w:rsidR="001D0B57" w:rsidRPr="00EE27E4">
        <w:rPr>
          <w:rFonts w:cstheme="minorHAnsi"/>
          <w:b/>
          <w:bCs/>
          <w:shd w:val="clear" w:color="auto" w:fill="FFFFFF"/>
        </w:rPr>
        <w:t xml:space="preserve"> </w:t>
      </w:r>
      <w:r w:rsidR="000F3CFD" w:rsidRPr="00EE27E4">
        <w:rPr>
          <w:rFonts w:cstheme="minorHAnsi"/>
          <w:b/>
          <w:bCs/>
          <w:shd w:val="clear" w:color="auto" w:fill="FFFFFF"/>
        </w:rPr>
        <w:t>RIN</w:t>
      </w:r>
      <w:r w:rsidRPr="00EE27E4">
        <w:rPr>
          <w:rFonts w:cstheme="minorHAnsi"/>
          <w:b/>
          <w:bCs/>
        </w:rPr>
        <w:t xml:space="preserve">: </w:t>
      </w:r>
      <w:r w:rsidR="006C743F" w:rsidRPr="00EE27E4">
        <w:rPr>
          <w:rFonts w:cstheme="minorHAnsi"/>
          <w:b/>
          <w:bCs/>
        </w:rPr>
        <w:t>3052–AD53</w:t>
      </w:r>
    </w:p>
    <w:p w14:paraId="4876DE5F" w14:textId="77777777" w:rsidR="00051728" w:rsidRPr="00EE27E4" w:rsidRDefault="00051728" w:rsidP="009958F5">
      <w:pPr>
        <w:spacing w:line="240" w:lineRule="auto"/>
        <w:rPr>
          <w:rFonts w:cstheme="minorHAnsi"/>
        </w:rPr>
      </w:pPr>
    </w:p>
    <w:p w14:paraId="5559935A" w14:textId="505EFC25" w:rsidR="00E269E4" w:rsidRPr="00EE27E4" w:rsidRDefault="00E269E4" w:rsidP="009958F5">
      <w:pPr>
        <w:spacing w:line="240" w:lineRule="auto"/>
        <w:rPr>
          <w:rFonts w:cstheme="minorHAnsi"/>
        </w:rPr>
      </w:pPr>
      <w:r w:rsidRPr="00EE27E4">
        <w:rPr>
          <w:rFonts w:cstheme="minorHAnsi"/>
        </w:rPr>
        <w:t xml:space="preserve">Dear </w:t>
      </w:r>
      <w:r w:rsidR="008E277F" w:rsidRPr="00EE27E4">
        <w:rPr>
          <w:rFonts w:cstheme="minorHAnsi"/>
        </w:rPr>
        <w:t xml:space="preserve">Ms. </w:t>
      </w:r>
      <w:r w:rsidR="00051728" w:rsidRPr="00EE27E4">
        <w:rPr>
          <w:rFonts w:cstheme="minorHAnsi"/>
        </w:rPr>
        <w:t>Agans</w:t>
      </w:r>
      <w:r w:rsidR="00424D17" w:rsidRPr="00EE27E4">
        <w:rPr>
          <w:rFonts w:cstheme="minorHAnsi"/>
        </w:rPr>
        <w:t>:</w:t>
      </w:r>
    </w:p>
    <w:p w14:paraId="31C47ABD" w14:textId="77777777" w:rsidR="00E269E4" w:rsidRPr="00EE27E4" w:rsidRDefault="00E269E4" w:rsidP="009958F5">
      <w:pPr>
        <w:spacing w:line="240" w:lineRule="auto"/>
        <w:rPr>
          <w:rFonts w:cstheme="minorHAnsi"/>
        </w:rPr>
      </w:pPr>
    </w:p>
    <w:p w14:paraId="4FCAB941" w14:textId="10C9D4C9" w:rsidR="00F33416" w:rsidRPr="00EE27E4" w:rsidRDefault="009958F5" w:rsidP="00397B2F">
      <w:pPr>
        <w:spacing w:line="240" w:lineRule="auto"/>
        <w:rPr>
          <w:rFonts w:cstheme="minorHAnsi"/>
        </w:rPr>
      </w:pPr>
      <w:bookmarkStart w:id="0" w:name="_Hlk106369150"/>
      <w:r w:rsidRPr="00EE27E4">
        <w:rPr>
          <w:rFonts w:eastAsia="Calibri" w:cstheme="minorHAnsi"/>
        </w:rPr>
        <w:t>On behalf of the Independent Community Bankers of America (“ICBA”),</w:t>
      </w:r>
      <w:r w:rsidRPr="00EE27E4">
        <w:rPr>
          <w:rFonts w:eastAsia="Calibri" w:cstheme="minorHAnsi"/>
          <w:vertAlign w:val="superscript"/>
        </w:rPr>
        <w:footnoteReference w:id="1"/>
      </w:r>
      <w:r w:rsidRPr="00EE27E4">
        <w:rPr>
          <w:rFonts w:eastAsia="Calibri" w:cstheme="minorHAnsi"/>
        </w:rPr>
        <w:t xml:space="preserve"> we appreciate the opportunity to provide </w:t>
      </w:r>
      <w:r w:rsidR="00953018" w:rsidRPr="00EE27E4">
        <w:rPr>
          <w:rFonts w:eastAsia="Calibri" w:cstheme="minorHAnsi"/>
        </w:rPr>
        <w:t>comments</w:t>
      </w:r>
      <w:r w:rsidRPr="00EE27E4">
        <w:rPr>
          <w:rFonts w:eastAsia="Calibri" w:cstheme="minorHAnsi"/>
        </w:rPr>
        <w:t xml:space="preserve"> to the</w:t>
      </w:r>
      <w:r w:rsidRPr="00EE27E4">
        <w:rPr>
          <w:rFonts w:cstheme="minorHAnsi"/>
        </w:rPr>
        <w:t xml:space="preserve"> </w:t>
      </w:r>
      <w:r w:rsidR="001D2C0A" w:rsidRPr="00EE27E4">
        <w:rPr>
          <w:rFonts w:cstheme="minorHAnsi"/>
        </w:rPr>
        <w:t xml:space="preserve">Farm Credit Administration </w:t>
      </w:r>
      <w:r w:rsidRPr="00EE27E4">
        <w:rPr>
          <w:rFonts w:cstheme="minorHAnsi"/>
        </w:rPr>
        <w:t>(“</w:t>
      </w:r>
      <w:r w:rsidR="001D2C0A" w:rsidRPr="00EE27E4">
        <w:rPr>
          <w:rFonts w:cstheme="minorHAnsi"/>
        </w:rPr>
        <w:t>FCA</w:t>
      </w:r>
      <w:r w:rsidRPr="00EE27E4">
        <w:rPr>
          <w:rFonts w:cstheme="minorHAnsi"/>
        </w:rPr>
        <w:t>”) wh</w:t>
      </w:r>
      <w:r w:rsidR="007F318E" w:rsidRPr="00EE27E4">
        <w:rPr>
          <w:rFonts w:cstheme="minorHAnsi"/>
        </w:rPr>
        <w:t>ich</w:t>
      </w:r>
      <w:r w:rsidRPr="00EE27E4">
        <w:rPr>
          <w:rFonts w:cstheme="minorHAnsi"/>
        </w:rPr>
        <w:t xml:space="preserve"> </w:t>
      </w:r>
      <w:r w:rsidR="005B6F55" w:rsidRPr="00EE27E4">
        <w:rPr>
          <w:rFonts w:cstheme="minorHAnsi"/>
        </w:rPr>
        <w:t xml:space="preserve">is </w:t>
      </w:r>
      <w:r w:rsidR="00F33416" w:rsidRPr="00EE27E4">
        <w:rPr>
          <w:rFonts w:cstheme="minorHAnsi"/>
        </w:rPr>
        <w:t xml:space="preserve">proposing </w:t>
      </w:r>
      <w:r w:rsidR="00B97219" w:rsidRPr="00EE27E4">
        <w:rPr>
          <w:rFonts w:cstheme="minorHAnsi"/>
        </w:rPr>
        <w:t xml:space="preserve">modifications to </w:t>
      </w:r>
      <w:r w:rsidR="005B24F6" w:rsidRPr="00EE27E4">
        <w:rPr>
          <w:rFonts w:cstheme="minorHAnsi"/>
        </w:rPr>
        <w:t>FCA regulation</w:t>
      </w:r>
      <w:r w:rsidR="002E4494" w:rsidRPr="00EE27E4">
        <w:rPr>
          <w:rFonts w:cstheme="minorHAnsi"/>
        </w:rPr>
        <w:t xml:space="preserve"> part 609</w:t>
      </w:r>
      <w:r w:rsidR="00961FD9" w:rsidRPr="00EE27E4">
        <w:rPr>
          <w:rStyle w:val="FootnoteReference"/>
          <w:rFonts w:cstheme="minorHAnsi"/>
        </w:rPr>
        <w:footnoteReference w:id="2"/>
      </w:r>
      <w:r w:rsidR="002E4494" w:rsidRPr="00EE27E4">
        <w:rPr>
          <w:rFonts w:cstheme="minorHAnsi"/>
        </w:rPr>
        <w:t xml:space="preserve"> </w:t>
      </w:r>
      <w:r w:rsidR="00397B2F" w:rsidRPr="00EE27E4">
        <w:rPr>
          <w:rFonts w:cstheme="minorHAnsi"/>
        </w:rPr>
        <w:t xml:space="preserve">to </w:t>
      </w:r>
      <w:r w:rsidR="00F33416" w:rsidRPr="00EE27E4">
        <w:rPr>
          <w:rFonts w:cstheme="minorHAnsi"/>
        </w:rPr>
        <w:t>codify existing</w:t>
      </w:r>
      <w:r w:rsidR="007F2235" w:rsidRPr="00EE27E4">
        <w:rPr>
          <w:rFonts w:cstheme="minorHAnsi"/>
        </w:rPr>
        <w:t xml:space="preserve"> </w:t>
      </w:r>
      <w:r w:rsidR="00F33416" w:rsidRPr="00EE27E4">
        <w:rPr>
          <w:rFonts w:cstheme="minorHAnsi"/>
        </w:rPr>
        <w:t>expectations and ensure the relevance and adequacy of risk management practices, corporate governance, and internal control systems for conducting business in an electronic environment.</w:t>
      </w:r>
    </w:p>
    <w:p w14:paraId="22B44461" w14:textId="3E65A5A2" w:rsidR="00F33416" w:rsidRPr="00EE27E4" w:rsidRDefault="00F33416" w:rsidP="009958F5">
      <w:pPr>
        <w:spacing w:line="240" w:lineRule="auto"/>
        <w:rPr>
          <w:rFonts w:cstheme="minorHAnsi"/>
        </w:rPr>
      </w:pPr>
    </w:p>
    <w:p w14:paraId="0FEA6507" w14:textId="228242F9" w:rsidR="00EC5485" w:rsidRPr="00EE27E4" w:rsidRDefault="009958F5" w:rsidP="009958F5">
      <w:pPr>
        <w:spacing w:line="240" w:lineRule="auto"/>
        <w:jc w:val="center"/>
        <w:rPr>
          <w:rFonts w:eastAsia="Calibri" w:cstheme="minorHAnsi"/>
          <w:b/>
          <w:bCs/>
          <w:u w:val="single"/>
        </w:rPr>
      </w:pPr>
      <w:r w:rsidRPr="00EE27E4">
        <w:rPr>
          <w:rFonts w:eastAsia="Calibri" w:cstheme="minorHAnsi"/>
          <w:b/>
          <w:bCs/>
          <w:u w:val="single"/>
        </w:rPr>
        <w:t>Recommendations</w:t>
      </w:r>
    </w:p>
    <w:p w14:paraId="1107074D" w14:textId="77777777" w:rsidR="009958F5" w:rsidRPr="00EE27E4" w:rsidRDefault="009958F5" w:rsidP="00956516">
      <w:pPr>
        <w:spacing w:line="240" w:lineRule="auto"/>
        <w:jc w:val="center"/>
        <w:rPr>
          <w:rFonts w:eastAsia="Calibri" w:cstheme="minorHAnsi"/>
          <w:b/>
          <w:bCs/>
        </w:rPr>
      </w:pPr>
    </w:p>
    <w:p w14:paraId="01A935D2" w14:textId="6AD53755" w:rsidR="00BD24BA" w:rsidRPr="00BF6852" w:rsidRDefault="00865CAA" w:rsidP="00BF6852">
      <w:pPr>
        <w:spacing w:line="240" w:lineRule="auto"/>
        <w:rPr>
          <w:rFonts w:eastAsia="Calibri" w:cstheme="minorHAnsi"/>
        </w:rPr>
      </w:pPr>
      <w:r w:rsidRPr="00EE27E4">
        <w:rPr>
          <w:rFonts w:cstheme="minorHAnsi"/>
        </w:rPr>
        <w:t xml:space="preserve">ICBA frequently engages its members </w:t>
      </w:r>
      <w:r w:rsidR="00ED7762" w:rsidRPr="00EE27E4">
        <w:rPr>
          <w:rFonts w:cstheme="minorHAnsi"/>
        </w:rPr>
        <w:t xml:space="preserve">and </w:t>
      </w:r>
      <w:r w:rsidR="00EB12D1" w:rsidRPr="00EE27E4">
        <w:rPr>
          <w:rFonts w:cstheme="minorHAnsi"/>
        </w:rPr>
        <w:t>works closely with th</w:t>
      </w:r>
      <w:r w:rsidR="00364B3E" w:rsidRPr="00EE27E4">
        <w:rPr>
          <w:rFonts w:cstheme="minorHAnsi"/>
        </w:rPr>
        <w:t>e</w:t>
      </w:r>
      <w:r w:rsidR="00C25B64" w:rsidRPr="00EE27E4">
        <w:rPr>
          <w:rFonts w:cstheme="minorHAnsi"/>
        </w:rPr>
        <w:t xml:space="preserve"> </w:t>
      </w:r>
      <w:r w:rsidR="00BA2E5C" w:rsidRPr="00EE27E4">
        <w:rPr>
          <w:rFonts w:cstheme="minorHAnsi"/>
        </w:rPr>
        <w:t xml:space="preserve">Office of the Comptroller of the Currency, the Board of Governors of the Federal Reserve System, and the Federal Deposit </w:t>
      </w:r>
      <w:r w:rsidR="00BA2E5C" w:rsidRPr="00EE27E4">
        <w:rPr>
          <w:rFonts w:cstheme="minorHAnsi"/>
        </w:rPr>
        <w:lastRenderedPageBreak/>
        <w:t>Insurance Corporation (collectively, the “Agencies”) </w:t>
      </w:r>
      <w:r w:rsidRPr="00EE27E4">
        <w:rPr>
          <w:rFonts w:cstheme="minorHAnsi"/>
        </w:rPr>
        <w:t xml:space="preserve">to explore how </w:t>
      </w:r>
      <w:r w:rsidR="00D40CA3" w:rsidRPr="00EE27E4">
        <w:rPr>
          <w:rFonts w:cstheme="minorHAnsi"/>
        </w:rPr>
        <w:t xml:space="preserve">to best </w:t>
      </w:r>
      <w:r w:rsidR="00C25B64" w:rsidRPr="00EE27E4">
        <w:rPr>
          <w:rFonts w:cstheme="minorHAnsi"/>
        </w:rPr>
        <w:t xml:space="preserve">secure the </w:t>
      </w:r>
      <w:r w:rsidR="005F57A6" w:rsidRPr="00EE27E4">
        <w:rPr>
          <w:rFonts w:cstheme="minorHAnsi"/>
        </w:rPr>
        <w:t xml:space="preserve">Financial Services Sector </w:t>
      </w:r>
      <w:r w:rsidR="00247729" w:rsidRPr="00EE27E4">
        <w:rPr>
          <w:rFonts w:cstheme="minorHAnsi"/>
        </w:rPr>
        <w:t>and to keep</w:t>
      </w:r>
      <w:r w:rsidR="007322F6" w:rsidRPr="00EE27E4">
        <w:rPr>
          <w:rFonts w:cstheme="minorHAnsi"/>
        </w:rPr>
        <w:t xml:space="preserve"> c</w:t>
      </w:r>
      <w:r w:rsidRPr="00EE27E4">
        <w:rPr>
          <w:rFonts w:cstheme="minorHAnsi"/>
        </w:rPr>
        <w:t xml:space="preserve">ustomer </w:t>
      </w:r>
      <w:r w:rsidR="007C5924" w:rsidRPr="00EE27E4">
        <w:rPr>
          <w:rFonts w:cstheme="minorHAnsi"/>
        </w:rPr>
        <w:t xml:space="preserve">information </w:t>
      </w:r>
      <w:r w:rsidRPr="00EE27E4">
        <w:rPr>
          <w:rFonts w:cstheme="minorHAnsi"/>
        </w:rPr>
        <w:t>and data safe. The following reflect</w:t>
      </w:r>
      <w:r w:rsidR="00F163D3" w:rsidRPr="00EE27E4">
        <w:rPr>
          <w:rFonts w:cstheme="minorHAnsi"/>
        </w:rPr>
        <w:t>s</w:t>
      </w:r>
      <w:r w:rsidRPr="00EE27E4">
        <w:rPr>
          <w:rFonts w:cstheme="minorHAnsi"/>
        </w:rPr>
        <w:t xml:space="preserve"> </w:t>
      </w:r>
      <w:r w:rsidR="000F69FA" w:rsidRPr="00EE27E4">
        <w:rPr>
          <w:rFonts w:cstheme="minorHAnsi"/>
        </w:rPr>
        <w:t xml:space="preserve">ICBA’s </w:t>
      </w:r>
      <w:r w:rsidR="007322F6" w:rsidRPr="00EE27E4">
        <w:rPr>
          <w:rFonts w:cstheme="minorHAnsi"/>
        </w:rPr>
        <w:t>comments</w:t>
      </w:r>
      <w:r w:rsidRPr="00EE27E4">
        <w:rPr>
          <w:rFonts w:cstheme="minorHAnsi"/>
        </w:rPr>
        <w:t xml:space="preserve"> </w:t>
      </w:r>
      <w:r w:rsidR="0042694A" w:rsidRPr="00EE27E4">
        <w:rPr>
          <w:rFonts w:cstheme="minorHAnsi"/>
        </w:rPr>
        <w:t xml:space="preserve">on the </w:t>
      </w:r>
      <w:r w:rsidR="000F69FA" w:rsidRPr="00EE27E4">
        <w:rPr>
          <w:rFonts w:cstheme="minorHAnsi"/>
        </w:rPr>
        <w:t xml:space="preserve">disparate </w:t>
      </w:r>
      <w:r w:rsidR="0042694A" w:rsidRPr="00EE27E4">
        <w:rPr>
          <w:rFonts w:cstheme="minorHAnsi"/>
        </w:rPr>
        <w:t xml:space="preserve">cybersecurity and cyber risk regulations that exist between what is required of banks </w:t>
      </w:r>
      <w:r w:rsidR="00BC0B4F" w:rsidRPr="00EE27E4">
        <w:rPr>
          <w:rFonts w:cstheme="minorHAnsi"/>
        </w:rPr>
        <w:t xml:space="preserve">by the Agencies </w:t>
      </w:r>
      <w:r w:rsidR="000D2C9D" w:rsidRPr="00EE27E4">
        <w:rPr>
          <w:rFonts w:cstheme="minorHAnsi"/>
        </w:rPr>
        <w:t xml:space="preserve">and </w:t>
      </w:r>
      <w:r w:rsidR="00BC0B4F" w:rsidRPr="00EE27E4">
        <w:rPr>
          <w:rFonts w:cstheme="minorHAnsi"/>
        </w:rPr>
        <w:t>what is required of FCA System Institutions</w:t>
      </w:r>
      <w:r w:rsidRPr="00EE27E4">
        <w:rPr>
          <w:rFonts w:cstheme="minorHAnsi"/>
        </w:rPr>
        <w:t xml:space="preserve">. ICBA encourages the </w:t>
      </w:r>
      <w:r w:rsidR="00A940D8" w:rsidRPr="00EE27E4">
        <w:rPr>
          <w:rFonts w:cstheme="minorHAnsi"/>
        </w:rPr>
        <w:t>FCA</w:t>
      </w:r>
      <w:r w:rsidRPr="00EE27E4">
        <w:rPr>
          <w:rFonts w:cstheme="minorHAnsi"/>
        </w:rPr>
        <w:t xml:space="preserve"> to </w:t>
      </w:r>
      <w:r w:rsidR="00BD24BA" w:rsidRPr="00BF6852">
        <w:rPr>
          <w:rFonts w:eastAsia="Calibri" w:cstheme="minorHAnsi"/>
        </w:rPr>
        <w:t>harmonize cybersecurity and cyber risk regulation and guidance with that of the Agencies.</w:t>
      </w:r>
    </w:p>
    <w:p w14:paraId="7E94F827" w14:textId="77777777" w:rsidR="009958F5" w:rsidRPr="00EE27E4" w:rsidRDefault="009958F5" w:rsidP="009958F5">
      <w:pPr>
        <w:spacing w:line="240" w:lineRule="auto"/>
        <w:rPr>
          <w:rFonts w:eastAsia="Calibri" w:cstheme="minorHAnsi"/>
        </w:rPr>
      </w:pPr>
    </w:p>
    <w:p w14:paraId="2115753A" w14:textId="79B6C7E8" w:rsidR="009958F5" w:rsidRPr="00EE27E4" w:rsidRDefault="009B2A43" w:rsidP="009958F5">
      <w:pPr>
        <w:spacing w:line="240" w:lineRule="auto"/>
        <w:rPr>
          <w:rFonts w:eastAsia="Calibri" w:cstheme="minorHAnsi"/>
        </w:rPr>
      </w:pPr>
      <w:r w:rsidRPr="00EE27E4">
        <w:rPr>
          <w:rFonts w:eastAsia="Calibri" w:cstheme="minorHAnsi"/>
          <w:b/>
          <w:bCs/>
        </w:rPr>
        <w:t>Cyber Risk Management</w:t>
      </w:r>
    </w:p>
    <w:p w14:paraId="1D7C12FD" w14:textId="4F9AE40B" w:rsidR="00E842E2" w:rsidRDefault="00BF6FD5" w:rsidP="00EE27E4">
      <w:pPr>
        <w:spacing w:line="240" w:lineRule="auto"/>
        <w:rPr>
          <w:rFonts w:eastAsia="Calibri" w:cstheme="minorHAnsi"/>
        </w:rPr>
      </w:pPr>
      <w:r w:rsidRPr="00EE27E4">
        <w:rPr>
          <w:rFonts w:eastAsia="Calibri" w:cstheme="minorHAnsi"/>
        </w:rPr>
        <w:t>T</w:t>
      </w:r>
      <w:r w:rsidR="0012107F" w:rsidRPr="00EE27E4">
        <w:rPr>
          <w:rFonts w:eastAsia="Calibri" w:cstheme="minorHAnsi"/>
        </w:rPr>
        <w:t xml:space="preserve">he FCA </w:t>
      </w:r>
      <w:r w:rsidR="00625028" w:rsidRPr="00EE27E4">
        <w:rPr>
          <w:rFonts w:eastAsia="Calibri" w:cstheme="minorHAnsi"/>
        </w:rPr>
        <w:t xml:space="preserve">proposes adding additional requirements to assess institution risk and identify potential points of vulnerability, </w:t>
      </w:r>
      <w:r w:rsidR="00E8144A" w:rsidRPr="00EE27E4">
        <w:rPr>
          <w:rFonts w:eastAsia="Calibri" w:cstheme="minorHAnsi"/>
        </w:rPr>
        <w:t xml:space="preserve">and </w:t>
      </w:r>
      <w:r w:rsidR="00625028" w:rsidRPr="00EE27E4">
        <w:rPr>
          <w:rFonts w:eastAsia="Calibri" w:cstheme="minorHAnsi"/>
        </w:rPr>
        <w:t xml:space="preserve">establish a risk management program for the </w:t>
      </w:r>
      <w:r w:rsidR="00FE077C" w:rsidRPr="00EE27E4">
        <w:rPr>
          <w:rFonts w:eastAsia="Calibri" w:cstheme="minorHAnsi"/>
        </w:rPr>
        <w:t>i</w:t>
      </w:r>
      <w:r w:rsidR="00625028" w:rsidRPr="00EE27E4">
        <w:rPr>
          <w:rFonts w:eastAsia="Calibri" w:cstheme="minorHAnsi"/>
        </w:rPr>
        <w:t>nstitution’s identified risks</w:t>
      </w:r>
      <w:r w:rsidR="00E8144A" w:rsidRPr="00EE27E4">
        <w:rPr>
          <w:rFonts w:eastAsia="Calibri" w:cstheme="minorHAnsi"/>
        </w:rPr>
        <w:t xml:space="preserve">. </w:t>
      </w:r>
      <w:r w:rsidR="00E8144A" w:rsidRPr="00EE27E4">
        <w:rPr>
          <w:rFonts w:cstheme="minorHAnsi"/>
        </w:rPr>
        <w:t>FCA is also proposing requirements to</w:t>
      </w:r>
      <w:r w:rsidR="00625028" w:rsidRPr="00EE27E4">
        <w:rPr>
          <w:rFonts w:eastAsia="Calibri" w:cstheme="minorHAnsi"/>
        </w:rPr>
        <w:t xml:space="preserve"> </w:t>
      </w:r>
      <w:r w:rsidR="009A7FFD" w:rsidRPr="00EE27E4">
        <w:rPr>
          <w:rFonts w:eastAsia="Calibri" w:cstheme="minorHAnsi"/>
        </w:rPr>
        <w:t>c</w:t>
      </w:r>
      <w:r w:rsidR="00625028" w:rsidRPr="00EE27E4">
        <w:rPr>
          <w:rFonts w:eastAsia="Calibri" w:cstheme="minorHAnsi"/>
        </w:rPr>
        <w:t>onsider privacy and legal</w:t>
      </w:r>
      <w:r w:rsidR="009A7FFD" w:rsidRPr="00EE27E4">
        <w:rPr>
          <w:rFonts w:eastAsia="Calibri" w:cstheme="minorHAnsi"/>
        </w:rPr>
        <w:t xml:space="preserve"> </w:t>
      </w:r>
      <w:r w:rsidR="00625028" w:rsidRPr="00EE27E4">
        <w:rPr>
          <w:rFonts w:eastAsia="Calibri" w:cstheme="minorHAnsi"/>
        </w:rPr>
        <w:t>compliance issues surrounding cyber risk</w:t>
      </w:r>
      <w:r w:rsidR="009A7FFD" w:rsidRPr="00EE27E4">
        <w:rPr>
          <w:rFonts w:eastAsia="Calibri" w:cstheme="minorHAnsi"/>
        </w:rPr>
        <w:t>, d</w:t>
      </w:r>
      <w:r w:rsidR="00625028" w:rsidRPr="00EE27E4">
        <w:rPr>
          <w:rFonts w:eastAsia="Calibri" w:cstheme="minorHAnsi"/>
        </w:rPr>
        <w:t>evelop an incident response plan</w:t>
      </w:r>
      <w:r w:rsidR="009A7FFD" w:rsidRPr="00EE27E4">
        <w:rPr>
          <w:rFonts w:eastAsia="Calibri" w:cstheme="minorHAnsi"/>
        </w:rPr>
        <w:t>, d</w:t>
      </w:r>
      <w:r w:rsidR="00625028" w:rsidRPr="00EE27E4">
        <w:rPr>
          <w:rFonts w:eastAsia="Calibri" w:cstheme="minorHAnsi"/>
        </w:rPr>
        <w:t>evelop a cyber risk training</w:t>
      </w:r>
      <w:r w:rsidR="009A7FFD" w:rsidRPr="00EE27E4">
        <w:rPr>
          <w:rFonts w:eastAsia="Calibri" w:cstheme="minorHAnsi"/>
        </w:rPr>
        <w:t xml:space="preserve"> </w:t>
      </w:r>
      <w:r w:rsidR="00625028" w:rsidRPr="00EE27E4">
        <w:rPr>
          <w:rFonts w:eastAsia="Calibri" w:cstheme="minorHAnsi"/>
        </w:rPr>
        <w:t>program</w:t>
      </w:r>
      <w:r w:rsidR="009A7FFD" w:rsidRPr="00EE27E4">
        <w:rPr>
          <w:rFonts w:eastAsia="Calibri" w:cstheme="minorHAnsi"/>
        </w:rPr>
        <w:t>, s</w:t>
      </w:r>
      <w:r w:rsidR="00625028" w:rsidRPr="00EE27E4">
        <w:rPr>
          <w:rFonts w:eastAsia="Calibri" w:cstheme="minorHAnsi"/>
        </w:rPr>
        <w:t xml:space="preserve">et </w:t>
      </w:r>
      <w:r w:rsidR="00FE077C" w:rsidRPr="00EE27E4">
        <w:rPr>
          <w:rFonts w:eastAsia="Calibri" w:cstheme="minorHAnsi"/>
        </w:rPr>
        <w:t>p</w:t>
      </w:r>
      <w:r w:rsidR="00625028" w:rsidRPr="00EE27E4">
        <w:rPr>
          <w:rFonts w:eastAsia="Calibri" w:cstheme="minorHAnsi"/>
        </w:rPr>
        <w:t>olicies for managing third-party</w:t>
      </w:r>
      <w:r w:rsidR="009A7FFD" w:rsidRPr="00EE27E4">
        <w:rPr>
          <w:rFonts w:eastAsia="Calibri" w:cstheme="minorHAnsi"/>
        </w:rPr>
        <w:t xml:space="preserve"> </w:t>
      </w:r>
      <w:r w:rsidR="00625028" w:rsidRPr="00EE27E4">
        <w:rPr>
          <w:rFonts w:eastAsia="Calibri" w:cstheme="minorHAnsi"/>
        </w:rPr>
        <w:t>relationships</w:t>
      </w:r>
      <w:r w:rsidR="009A7FFD" w:rsidRPr="00EE27E4">
        <w:rPr>
          <w:rFonts w:eastAsia="Calibri" w:cstheme="minorHAnsi"/>
        </w:rPr>
        <w:t>, m</w:t>
      </w:r>
      <w:r w:rsidR="00625028" w:rsidRPr="00EE27E4">
        <w:rPr>
          <w:rFonts w:eastAsia="Calibri" w:cstheme="minorHAnsi"/>
        </w:rPr>
        <w:t>aintain robust internal controls</w:t>
      </w:r>
      <w:r w:rsidR="009A7FFD" w:rsidRPr="00EE27E4">
        <w:rPr>
          <w:rFonts w:eastAsia="Calibri" w:cstheme="minorHAnsi"/>
        </w:rPr>
        <w:t xml:space="preserve">, </w:t>
      </w:r>
      <w:r w:rsidR="00625028" w:rsidRPr="00EE27E4">
        <w:rPr>
          <w:rFonts w:eastAsia="Calibri" w:cstheme="minorHAnsi"/>
        </w:rPr>
        <w:t>and</w:t>
      </w:r>
      <w:r w:rsidR="0081626D" w:rsidRPr="00EE27E4">
        <w:rPr>
          <w:rFonts w:eastAsia="Calibri" w:cstheme="minorHAnsi"/>
        </w:rPr>
        <w:t xml:space="preserve"> </w:t>
      </w:r>
      <w:r w:rsidR="009A7FFD" w:rsidRPr="00EE27E4">
        <w:rPr>
          <w:rFonts w:eastAsia="Calibri" w:cstheme="minorHAnsi"/>
        </w:rPr>
        <w:t>e</w:t>
      </w:r>
      <w:r w:rsidR="00625028" w:rsidRPr="00EE27E4">
        <w:rPr>
          <w:rFonts w:eastAsia="Calibri" w:cstheme="minorHAnsi"/>
        </w:rPr>
        <w:t>stablish institution board reporting requirements</w:t>
      </w:r>
      <w:r w:rsidR="009479CE" w:rsidRPr="00EE27E4">
        <w:rPr>
          <w:rFonts w:eastAsia="Calibri" w:cstheme="minorHAnsi"/>
        </w:rPr>
        <w:t>.</w:t>
      </w:r>
      <w:r w:rsidR="0052264B" w:rsidRPr="00EE27E4">
        <w:rPr>
          <w:rFonts w:eastAsia="Calibri" w:cstheme="minorHAnsi"/>
        </w:rPr>
        <w:t xml:space="preserve"> </w:t>
      </w:r>
      <w:r w:rsidR="009479CE" w:rsidRPr="00EE27E4">
        <w:rPr>
          <w:rFonts w:eastAsia="Calibri" w:cstheme="minorHAnsi"/>
        </w:rPr>
        <w:t>H</w:t>
      </w:r>
      <w:r w:rsidR="0052264B" w:rsidRPr="00EE27E4">
        <w:rPr>
          <w:rFonts w:eastAsia="Calibri" w:cstheme="minorHAnsi"/>
        </w:rPr>
        <w:t>owever</w:t>
      </w:r>
      <w:r w:rsidR="00EE7EEB" w:rsidRPr="00EE27E4">
        <w:rPr>
          <w:rFonts w:eastAsia="Calibri" w:cstheme="minorHAnsi"/>
        </w:rPr>
        <w:t>,</w:t>
      </w:r>
      <w:r w:rsidR="009A7FFD" w:rsidRPr="00EE27E4">
        <w:rPr>
          <w:rFonts w:eastAsia="Calibri" w:cstheme="minorHAnsi"/>
        </w:rPr>
        <w:t xml:space="preserve"> this is a subset of requirements that </w:t>
      </w:r>
      <w:r w:rsidR="00E876CD" w:rsidRPr="00EE27E4">
        <w:rPr>
          <w:rFonts w:eastAsia="Calibri" w:cstheme="minorHAnsi"/>
        </w:rPr>
        <w:t>a</w:t>
      </w:r>
      <w:r w:rsidR="009A7FFD" w:rsidRPr="00EE27E4">
        <w:rPr>
          <w:rFonts w:eastAsia="Calibri" w:cstheme="minorHAnsi"/>
        </w:rPr>
        <w:t xml:space="preserve">re part of </w:t>
      </w:r>
      <w:r w:rsidR="00E01709" w:rsidRPr="00EE27E4">
        <w:rPr>
          <w:rFonts w:eastAsia="Calibri" w:cstheme="minorHAnsi"/>
        </w:rPr>
        <w:t xml:space="preserve">the </w:t>
      </w:r>
      <w:r w:rsidR="00E842E2" w:rsidRPr="00EE27E4">
        <w:rPr>
          <w:rFonts w:eastAsia="Calibri" w:cstheme="minorHAnsi"/>
        </w:rPr>
        <w:t>Agencies’</w:t>
      </w:r>
      <w:r w:rsidR="000D2C9D" w:rsidRPr="00EE27E4">
        <w:rPr>
          <w:rFonts w:eastAsia="Calibri" w:cstheme="minorHAnsi"/>
        </w:rPr>
        <w:t xml:space="preserve"> </w:t>
      </w:r>
      <w:r w:rsidR="00840A4A" w:rsidRPr="00EE27E4">
        <w:rPr>
          <w:rFonts w:eastAsia="Calibri" w:cstheme="minorHAnsi"/>
        </w:rPr>
        <w:t>regulat</w:t>
      </w:r>
      <w:r w:rsidR="000D2C9D" w:rsidRPr="00EE27E4">
        <w:rPr>
          <w:rFonts w:eastAsia="Calibri" w:cstheme="minorHAnsi"/>
        </w:rPr>
        <w:t xml:space="preserve">ions and </w:t>
      </w:r>
      <w:r w:rsidR="00840A4A" w:rsidRPr="00EE27E4">
        <w:rPr>
          <w:rFonts w:eastAsia="Calibri" w:cstheme="minorHAnsi"/>
        </w:rPr>
        <w:t>guidance</w:t>
      </w:r>
      <w:r w:rsidR="0052264B" w:rsidRPr="00EE27E4">
        <w:rPr>
          <w:rFonts w:eastAsia="Calibri" w:cstheme="minorHAnsi"/>
        </w:rPr>
        <w:t xml:space="preserve"> that apply to banks</w:t>
      </w:r>
      <w:r w:rsidR="00F14284" w:rsidRPr="00EE27E4">
        <w:rPr>
          <w:rFonts w:eastAsia="Calibri" w:cstheme="minorHAnsi"/>
        </w:rPr>
        <w:t>.</w:t>
      </w:r>
      <w:r w:rsidR="00F14284" w:rsidRPr="00EE27E4">
        <w:rPr>
          <w:rStyle w:val="FootnoteReference"/>
          <w:rFonts w:eastAsia="Calibri" w:cstheme="minorHAnsi"/>
        </w:rPr>
        <w:footnoteReference w:id="3"/>
      </w:r>
      <w:r w:rsidR="00F14284" w:rsidRPr="00EE27E4">
        <w:rPr>
          <w:rStyle w:val="FootnoteReference"/>
          <w:rFonts w:eastAsia="Calibri" w:cstheme="minorHAnsi"/>
        </w:rPr>
        <w:footnoteReference w:id="4"/>
      </w:r>
      <w:r w:rsidR="00F14284" w:rsidRPr="00EE27E4">
        <w:rPr>
          <w:rStyle w:val="FootnoteReference"/>
          <w:rFonts w:eastAsia="Calibri" w:cstheme="minorHAnsi"/>
        </w:rPr>
        <w:footnoteReference w:id="5"/>
      </w:r>
    </w:p>
    <w:p w14:paraId="543F8E30" w14:textId="77777777" w:rsidR="00A74A5B" w:rsidRDefault="00A74A5B" w:rsidP="00A74A5B">
      <w:pPr>
        <w:spacing w:line="240" w:lineRule="auto"/>
        <w:rPr>
          <w:rFonts w:eastAsia="Calibri" w:cstheme="minorHAnsi"/>
        </w:rPr>
      </w:pPr>
    </w:p>
    <w:p w14:paraId="2B7AE466" w14:textId="7363873B" w:rsidR="00A74A5B" w:rsidRDefault="00EE27E4" w:rsidP="00EE27E4">
      <w:pPr>
        <w:spacing w:after="160" w:line="240" w:lineRule="auto"/>
        <w:rPr>
          <w:rFonts w:eastAsia="Calibri" w:cstheme="minorHAnsi"/>
        </w:rPr>
      </w:pPr>
      <w:r w:rsidRPr="00EE27E4">
        <w:rPr>
          <w:rFonts w:eastAsia="Calibri" w:cstheme="minorHAnsi"/>
        </w:rPr>
        <w:t>Community banks are regulated and examined by existing rules, regulations</w:t>
      </w:r>
      <w:r w:rsidR="00085E53">
        <w:rPr>
          <w:rFonts w:eastAsia="Calibri" w:cstheme="minorHAnsi"/>
        </w:rPr>
        <w:t>,</w:t>
      </w:r>
      <w:r w:rsidRPr="00EE27E4">
        <w:rPr>
          <w:rFonts w:eastAsia="Calibri" w:cstheme="minorHAnsi"/>
        </w:rPr>
        <w:t xml:space="preserve"> and guidance on risk standards, including</w:t>
      </w:r>
      <w:r w:rsidR="003A0EDF">
        <w:rPr>
          <w:rFonts w:eastAsia="Calibri" w:cstheme="minorHAnsi"/>
        </w:rPr>
        <w:t>,</w:t>
      </w:r>
      <w:r w:rsidRPr="00EE27E4">
        <w:rPr>
          <w:rFonts w:eastAsia="Calibri" w:cstheme="minorHAnsi"/>
        </w:rPr>
        <w:t xml:space="preserve"> but not limited to those requirements outlined in the</w:t>
      </w:r>
      <w:r w:rsidR="00DA3A8E">
        <w:rPr>
          <w:rFonts w:eastAsia="Calibri" w:cstheme="minorHAnsi"/>
        </w:rPr>
        <w:t xml:space="preserve"> FFIEC</w:t>
      </w:r>
      <w:r w:rsidRPr="00EE27E4">
        <w:rPr>
          <w:rFonts w:eastAsia="Calibri" w:cstheme="minorHAnsi"/>
        </w:rPr>
        <w:t xml:space="preserve"> IT Handbook</w:t>
      </w:r>
      <w:r w:rsidR="00DA3A8E">
        <w:rPr>
          <w:rStyle w:val="FootnoteReference"/>
          <w:rFonts w:eastAsia="Calibri" w:cstheme="minorHAnsi"/>
        </w:rPr>
        <w:footnoteReference w:id="6"/>
      </w:r>
      <w:r w:rsidR="00085E53">
        <w:rPr>
          <w:rFonts w:eastAsia="Calibri" w:cstheme="minorHAnsi"/>
        </w:rPr>
        <w:t xml:space="preserve"> </w:t>
      </w:r>
      <w:r w:rsidRPr="00EE27E4">
        <w:rPr>
          <w:rFonts w:eastAsia="Calibri" w:cstheme="minorHAnsi"/>
        </w:rPr>
        <w:t xml:space="preserve">and accompanying examination materials. Additionally, community banks are subject to the requirements set forth in the Gramm-Leach-Bliley Act and its implementing regulations established by the banking regulators. Included in the </w:t>
      </w:r>
      <w:r w:rsidR="004D50AC">
        <w:rPr>
          <w:rFonts w:eastAsia="Calibri" w:cstheme="minorHAnsi"/>
        </w:rPr>
        <w:t>rules</w:t>
      </w:r>
      <w:r w:rsidR="004D50AC" w:rsidRPr="00EE27E4">
        <w:rPr>
          <w:rFonts w:eastAsia="Calibri" w:cstheme="minorHAnsi"/>
        </w:rPr>
        <w:t xml:space="preserve"> </w:t>
      </w:r>
      <w:r w:rsidRPr="00EE27E4">
        <w:rPr>
          <w:rFonts w:eastAsia="Calibri" w:cstheme="minorHAnsi"/>
        </w:rPr>
        <w:t>for community banks is a requirement to establish an information security program</w:t>
      </w:r>
      <w:r w:rsidR="00173E54">
        <w:rPr>
          <w:rFonts w:eastAsia="Calibri" w:cstheme="minorHAnsi"/>
        </w:rPr>
        <w:t xml:space="preserve">, </w:t>
      </w:r>
      <w:r w:rsidR="00DA3A8E">
        <w:rPr>
          <w:rFonts w:eastAsia="Calibri" w:cstheme="minorHAnsi"/>
        </w:rPr>
        <w:t>risk mitigation</w:t>
      </w:r>
      <w:r w:rsidR="00173E54">
        <w:rPr>
          <w:rFonts w:eastAsia="Calibri" w:cstheme="minorHAnsi"/>
        </w:rPr>
        <w:t>,</w:t>
      </w:r>
      <w:r w:rsidR="00DA3A8E">
        <w:rPr>
          <w:rFonts w:eastAsia="Calibri" w:cstheme="minorHAnsi"/>
        </w:rPr>
        <w:t xml:space="preserve"> and risk reporting </w:t>
      </w:r>
      <w:r w:rsidRPr="00EE27E4">
        <w:rPr>
          <w:rFonts w:eastAsia="Calibri" w:cstheme="minorHAnsi"/>
        </w:rPr>
        <w:t>which:</w:t>
      </w:r>
    </w:p>
    <w:p w14:paraId="5C3C7FED" w14:textId="549D2400" w:rsidR="00EE27E4" w:rsidRPr="00A74A5B" w:rsidRDefault="00EE27E4" w:rsidP="00A74A5B">
      <w:pPr>
        <w:pStyle w:val="ListParagraph"/>
        <w:numPr>
          <w:ilvl w:val="0"/>
          <w:numId w:val="2"/>
        </w:numPr>
        <w:spacing w:after="160" w:line="240" w:lineRule="auto"/>
        <w:rPr>
          <w:rFonts w:cstheme="minorHAnsi"/>
        </w:rPr>
      </w:pPr>
      <w:r w:rsidRPr="00A74A5B">
        <w:rPr>
          <w:rFonts w:cstheme="minorHAnsi"/>
        </w:rPr>
        <w:t>Ensures the security and confidentiality of customer information;</w:t>
      </w:r>
    </w:p>
    <w:p w14:paraId="18048FA0" w14:textId="77777777" w:rsidR="00EE27E4" w:rsidRPr="00EE27E4" w:rsidRDefault="00EE27E4" w:rsidP="00EE27E4">
      <w:pPr>
        <w:pStyle w:val="ListParagraph"/>
        <w:numPr>
          <w:ilvl w:val="0"/>
          <w:numId w:val="2"/>
        </w:numPr>
        <w:spacing w:after="160" w:line="240" w:lineRule="auto"/>
        <w:rPr>
          <w:rFonts w:cstheme="minorHAnsi"/>
        </w:rPr>
      </w:pPr>
      <w:r w:rsidRPr="00EE27E4">
        <w:rPr>
          <w:rFonts w:cstheme="minorHAnsi"/>
        </w:rPr>
        <w:t xml:space="preserve">Protects against any anticipated threats or hazards to the security or integrity of such information; and </w:t>
      </w:r>
    </w:p>
    <w:p w14:paraId="0206AF84" w14:textId="77777777" w:rsidR="00EE27E4" w:rsidRPr="00EE27E4" w:rsidRDefault="00EE27E4" w:rsidP="00EE27E4">
      <w:pPr>
        <w:pStyle w:val="ListParagraph"/>
        <w:numPr>
          <w:ilvl w:val="0"/>
          <w:numId w:val="2"/>
        </w:numPr>
        <w:spacing w:after="160" w:line="240" w:lineRule="auto"/>
        <w:rPr>
          <w:rFonts w:cstheme="minorHAnsi"/>
        </w:rPr>
      </w:pPr>
      <w:r w:rsidRPr="00EE27E4">
        <w:rPr>
          <w:rFonts w:cstheme="minorHAnsi"/>
        </w:rPr>
        <w:t>Protects against unauthorized access to or use of such information that could result in substantial harm or inconvenience to any customer.</w:t>
      </w:r>
      <w:r w:rsidRPr="00EE27E4">
        <w:rPr>
          <w:rStyle w:val="FootnoteReference"/>
          <w:rFonts w:cstheme="minorHAnsi"/>
        </w:rPr>
        <w:footnoteReference w:id="7"/>
      </w:r>
    </w:p>
    <w:p w14:paraId="1BB1E6F1" w14:textId="12F72BE6" w:rsidR="009958F5" w:rsidRPr="00EE27E4" w:rsidRDefault="000A39B4" w:rsidP="00EE27E4">
      <w:pPr>
        <w:spacing w:line="240" w:lineRule="auto"/>
        <w:rPr>
          <w:rFonts w:eastAsia="Calibri" w:cstheme="minorHAnsi"/>
        </w:rPr>
      </w:pPr>
      <w:r w:rsidRPr="00EE27E4">
        <w:rPr>
          <w:rFonts w:eastAsia="Calibri" w:cstheme="minorHAnsi"/>
        </w:rPr>
        <w:t xml:space="preserve">To keep customer </w:t>
      </w:r>
      <w:r w:rsidR="00383871" w:rsidRPr="00EE27E4">
        <w:rPr>
          <w:rFonts w:eastAsia="Calibri" w:cstheme="minorHAnsi"/>
        </w:rPr>
        <w:t>information and data safe</w:t>
      </w:r>
      <w:r w:rsidR="009479CE" w:rsidRPr="00EE27E4">
        <w:rPr>
          <w:rFonts w:eastAsia="Calibri" w:cstheme="minorHAnsi"/>
        </w:rPr>
        <w:t>,</w:t>
      </w:r>
      <w:r w:rsidR="00383871" w:rsidRPr="00EE27E4">
        <w:rPr>
          <w:rFonts w:eastAsia="Calibri" w:cstheme="minorHAnsi"/>
        </w:rPr>
        <w:t xml:space="preserve"> </w:t>
      </w:r>
      <w:r w:rsidRPr="00EE27E4">
        <w:rPr>
          <w:rFonts w:eastAsia="Calibri" w:cstheme="minorHAnsi"/>
        </w:rPr>
        <w:t xml:space="preserve">ICBA suggests that the </w:t>
      </w:r>
      <w:r w:rsidR="00123F1A" w:rsidRPr="00EE27E4">
        <w:rPr>
          <w:rFonts w:eastAsia="Calibri" w:cstheme="minorHAnsi"/>
        </w:rPr>
        <w:t xml:space="preserve">FCA should harmonize </w:t>
      </w:r>
      <w:r w:rsidR="0039003A" w:rsidRPr="00EE27E4">
        <w:rPr>
          <w:rFonts w:eastAsia="Calibri" w:cstheme="minorHAnsi"/>
        </w:rPr>
        <w:t xml:space="preserve">FCA </w:t>
      </w:r>
      <w:r w:rsidR="00324AB0" w:rsidRPr="00EE27E4">
        <w:rPr>
          <w:rFonts w:eastAsia="Calibri" w:cstheme="minorHAnsi"/>
        </w:rPr>
        <w:t xml:space="preserve">cybersecurity and cyber risk </w:t>
      </w:r>
      <w:r w:rsidR="00123F1A" w:rsidRPr="00EE27E4">
        <w:rPr>
          <w:rFonts w:eastAsia="Calibri" w:cstheme="minorHAnsi"/>
        </w:rPr>
        <w:t xml:space="preserve">regulation </w:t>
      </w:r>
      <w:r w:rsidR="00383871" w:rsidRPr="00EE27E4">
        <w:rPr>
          <w:rFonts w:eastAsia="Calibri" w:cstheme="minorHAnsi"/>
        </w:rPr>
        <w:t>and guidance with that of the Agencies</w:t>
      </w:r>
      <w:r w:rsidR="00123F1A" w:rsidRPr="00EE27E4">
        <w:rPr>
          <w:rFonts w:eastAsia="Calibri" w:cstheme="minorHAnsi"/>
        </w:rPr>
        <w:t xml:space="preserve"> to ensure that </w:t>
      </w:r>
      <w:r w:rsidR="00B51869" w:rsidRPr="00EE27E4">
        <w:rPr>
          <w:rFonts w:eastAsia="Calibri" w:cstheme="minorHAnsi"/>
        </w:rPr>
        <w:t>the FCA System Institutions are operating in a safe and sound manner</w:t>
      </w:r>
      <w:r w:rsidR="00840A4A" w:rsidRPr="00EE27E4">
        <w:rPr>
          <w:rFonts w:eastAsia="Calibri" w:cstheme="minorHAnsi"/>
        </w:rPr>
        <w:t>.</w:t>
      </w:r>
    </w:p>
    <w:p w14:paraId="2F5BD918" w14:textId="6001824B" w:rsidR="00624644" w:rsidRPr="00EE27E4" w:rsidRDefault="00624644" w:rsidP="009958F5">
      <w:pPr>
        <w:spacing w:line="240" w:lineRule="auto"/>
        <w:rPr>
          <w:rFonts w:eastAsia="Calibri" w:cstheme="minorHAnsi"/>
        </w:rPr>
      </w:pPr>
    </w:p>
    <w:p w14:paraId="34F05FFF" w14:textId="2B3F499B" w:rsidR="00624644" w:rsidRPr="00EE27E4" w:rsidRDefault="00624644" w:rsidP="009958F5">
      <w:pPr>
        <w:spacing w:line="240" w:lineRule="auto"/>
        <w:rPr>
          <w:rFonts w:eastAsia="Calibri" w:cstheme="minorHAnsi"/>
        </w:rPr>
      </w:pPr>
      <w:r w:rsidRPr="00EE27E4">
        <w:rPr>
          <w:rStyle w:val="normaltextrun"/>
          <w:rFonts w:cstheme="minorHAnsi"/>
          <w:color w:val="000000"/>
          <w:shd w:val="clear" w:color="auto" w:fill="FFFFFF"/>
        </w:rPr>
        <w:t>The Farm Credit System (</w:t>
      </w:r>
      <w:r w:rsidR="000F3CA0" w:rsidRPr="00EE27E4">
        <w:rPr>
          <w:rStyle w:val="normaltextrun"/>
          <w:rFonts w:cstheme="minorHAnsi"/>
          <w:color w:val="000000"/>
          <w:shd w:val="clear" w:color="auto" w:fill="FFFFFF"/>
        </w:rPr>
        <w:t>“</w:t>
      </w:r>
      <w:r w:rsidRPr="00EE27E4">
        <w:rPr>
          <w:rStyle w:val="normaltextrun"/>
          <w:rFonts w:cstheme="minorHAnsi"/>
          <w:color w:val="000000"/>
          <w:shd w:val="clear" w:color="auto" w:fill="FFFFFF"/>
        </w:rPr>
        <w:t>FCS</w:t>
      </w:r>
      <w:r w:rsidR="000F3CA0" w:rsidRPr="00EE27E4">
        <w:rPr>
          <w:rStyle w:val="normaltextrun"/>
          <w:rFonts w:cstheme="minorHAnsi"/>
          <w:color w:val="000000"/>
          <w:shd w:val="clear" w:color="auto" w:fill="FFFFFF"/>
        </w:rPr>
        <w:t>”</w:t>
      </w:r>
      <w:r w:rsidRPr="00EE27E4">
        <w:rPr>
          <w:rStyle w:val="normaltextrun"/>
          <w:rFonts w:cstheme="minorHAnsi"/>
          <w:color w:val="000000"/>
          <w:shd w:val="clear" w:color="auto" w:fill="FFFFFF"/>
        </w:rPr>
        <w:t>) is a government sponsored enterprise (GSE) which is heavily subsidized by taxpayers through tax-exempt interest income, retained earnings</w:t>
      </w:r>
      <w:r w:rsidR="003A0EDF">
        <w:rPr>
          <w:rStyle w:val="normaltextrun"/>
          <w:rFonts w:cstheme="minorHAnsi"/>
          <w:color w:val="000000"/>
          <w:shd w:val="clear" w:color="auto" w:fill="FFFFFF"/>
        </w:rPr>
        <w:t>,</w:t>
      </w:r>
      <w:r w:rsidRPr="00EE27E4">
        <w:rPr>
          <w:rStyle w:val="normaltextrun"/>
          <w:rFonts w:cstheme="minorHAnsi"/>
          <w:color w:val="000000"/>
          <w:shd w:val="clear" w:color="auto" w:fill="FFFFFF"/>
        </w:rPr>
        <w:t xml:space="preserve"> and numerous other benefits. A failure of the FCS, which occurred in the 1980s and necessitated a government </w:t>
      </w:r>
      <w:r w:rsidRPr="00EE27E4">
        <w:rPr>
          <w:rStyle w:val="normaltextrun"/>
          <w:rFonts w:cstheme="minorHAnsi"/>
          <w:color w:val="000000"/>
          <w:shd w:val="clear" w:color="auto" w:fill="FFFFFF"/>
        </w:rPr>
        <w:lastRenderedPageBreak/>
        <w:t>bailout, would result in additional significant taxpayer expenses. Therefore, abiding by the same requirements as adhered to by the banking industry is appropriate and necessary to ensure FCS activities are covered by strong safety and soundness requirements.  </w:t>
      </w:r>
      <w:r w:rsidRPr="00EE27E4">
        <w:rPr>
          <w:rStyle w:val="eop"/>
          <w:rFonts w:cstheme="minorHAnsi"/>
          <w:color w:val="000000"/>
          <w:shd w:val="clear" w:color="auto" w:fill="FFFFFF"/>
        </w:rPr>
        <w:t> </w:t>
      </w:r>
    </w:p>
    <w:p w14:paraId="6D914CDC" w14:textId="77777777" w:rsidR="00C26737" w:rsidRPr="00EE27E4" w:rsidRDefault="00C26737" w:rsidP="009958F5">
      <w:pPr>
        <w:spacing w:line="240" w:lineRule="auto"/>
        <w:rPr>
          <w:rFonts w:eastAsia="Calibri" w:cstheme="minorHAnsi"/>
        </w:rPr>
      </w:pPr>
    </w:p>
    <w:p w14:paraId="532AD87B" w14:textId="77777777" w:rsidR="009958F5" w:rsidRPr="00EE27E4" w:rsidRDefault="009958F5" w:rsidP="009958F5">
      <w:pPr>
        <w:spacing w:line="240" w:lineRule="auto"/>
        <w:jc w:val="center"/>
        <w:rPr>
          <w:rFonts w:eastAsia="Calibri" w:cstheme="minorHAnsi"/>
          <w:b/>
          <w:bCs/>
          <w:u w:val="single"/>
        </w:rPr>
      </w:pPr>
      <w:r w:rsidRPr="00EE27E4">
        <w:rPr>
          <w:rFonts w:eastAsia="Calibri" w:cstheme="minorHAnsi"/>
          <w:b/>
          <w:bCs/>
          <w:u w:val="single"/>
        </w:rPr>
        <w:t>Conclusion</w:t>
      </w:r>
    </w:p>
    <w:p w14:paraId="58318683" w14:textId="77777777" w:rsidR="00EC5485" w:rsidRPr="00EE27E4" w:rsidRDefault="00EC5485" w:rsidP="009958F5">
      <w:pPr>
        <w:spacing w:line="240" w:lineRule="auto"/>
        <w:rPr>
          <w:rFonts w:eastAsia="Calibri" w:cstheme="minorHAnsi"/>
        </w:rPr>
      </w:pPr>
    </w:p>
    <w:p w14:paraId="334923D3" w14:textId="73291D62" w:rsidR="009958F5" w:rsidRPr="00EE27E4" w:rsidRDefault="009958F5" w:rsidP="009958F5">
      <w:pPr>
        <w:spacing w:line="240" w:lineRule="auto"/>
        <w:rPr>
          <w:rFonts w:eastAsia="Calibri" w:cstheme="minorHAnsi"/>
        </w:rPr>
      </w:pPr>
      <w:r w:rsidRPr="00EE27E4">
        <w:rPr>
          <w:rFonts w:eastAsia="Calibri" w:cstheme="minorHAnsi"/>
        </w:rPr>
        <w:t>ICBA greatly appreciates the opportunity to provide comments in response to this request</w:t>
      </w:r>
      <w:r w:rsidR="00396B67" w:rsidRPr="00EE27E4">
        <w:rPr>
          <w:rFonts w:eastAsia="Calibri" w:cstheme="minorHAnsi"/>
        </w:rPr>
        <w:t>,</w:t>
      </w:r>
      <w:r w:rsidRPr="00EE27E4">
        <w:rPr>
          <w:rFonts w:eastAsia="Calibri" w:cstheme="minorHAnsi"/>
        </w:rPr>
        <w:t xml:space="preserve"> and ICBA asks that the</w:t>
      </w:r>
      <w:r w:rsidR="00CB11F2" w:rsidRPr="00EE27E4">
        <w:rPr>
          <w:rFonts w:eastAsia="Calibri" w:cstheme="minorHAnsi"/>
        </w:rPr>
        <w:t xml:space="preserve"> FCA</w:t>
      </w:r>
      <w:r w:rsidRPr="00EE27E4">
        <w:rPr>
          <w:rFonts w:eastAsia="Calibri" w:cstheme="minorHAnsi"/>
        </w:rPr>
        <w:t xml:space="preserve"> carefully consider our comments and suggestions as they </w:t>
      </w:r>
      <w:r w:rsidR="00042884" w:rsidRPr="00EE27E4">
        <w:rPr>
          <w:rFonts w:eastAsia="Calibri" w:cstheme="minorHAnsi"/>
        </w:rPr>
        <w:t>work to modernize FCA regulations.</w:t>
      </w:r>
      <w:r w:rsidRPr="00EE27E4">
        <w:rPr>
          <w:rFonts w:eastAsia="Calibri" w:cstheme="minorHAnsi"/>
        </w:rPr>
        <w:t xml:space="preserve"> </w:t>
      </w:r>
    </w:p>
    <w:p w14:paraId="17F014E5" w14:textId="77777777" w:rsidR="009958F5" w:rsidRPr="00EE27E4" w:rsidRDefault="009958F5" w:rsidP="009958F5">
      <w:pPr>
        <w:spacing w:line="240" w:lineRule="auto"/>
        <w:rPr>
          <w:rFonts w:eastAsia="Calibri" w:cstheme="minorHAnsi"/>
        </w:rPr>
      </w:pPr>
    </w:p>
    <w:p w14:paraId="705E545A" w14:textId="77777777" w:rsidR="009958F5" w:rsidRPr="00EE27E4" w:rsidRDefault="009958F5" w:rsidP="009958F5">
      <w:pPr>
        <w:spacing w:line="240" w:lineRule="auto"/>
        <w:rPr>
          <w:rFonts w:eastAsia="Calibri" w:cstheme="minorHAnsi"/>
        </w:rPr>
      </w:pPr>
      <w:r w:rsidRPr="00EE27E4">
        <w:rPr>
          <w:rFonts w:eastAsia="Calibri" w:cstheme="minorHAnsi"/>
        </w:rPr>
        <w:t xml:space="preserve">If you have any questions, please do not </w:t>
      </w:r>
      <w:bookmarkStart w:id="1" w:name="_Hlk114652762"/>
      <w:r w:rsidRPr="00EE27E4">
        <w:rPr>
          <w:rFonts w:eastAsia="Calibri" w:cstheme="minorHAnsi"/>
        </w:rPr>
        <w:t xml:space="preserve">hesitate to contact </w:t>
      </w:r>
      <w:bookmarkEnd w:id="1"/>
      <w:r w:rsidRPr="00EE27E4">
        <w:rPr>
          <w:rFonts w:eastAsia="Calibri" w:cstheme="minorHAnsi"/>
        </w:rPr>
        <w:t xml:space="preserve">me at Joel.Williquette@icba.org or (202) 821-4454. </w:t>
      </w:r>
    </w:p>
    <w:p w14:paraId="6DD7059E" w14:textId="77777777" w:rsidR="009958F5" w:rsidRPr="00EE27E4" w:rsidRDefault="009958F5" w:rsidP="009958F5">
      <w:pPr>
        <w:spacing w:line="240" w:lineRule="auto"/>
        <w:rPr>
          <w:rFonts w:eastAsia="Calibri" w:cstheme="minorHAnsi"/>
        </w:rPr>
      </w:pPr>
    </w:p>
    <w:p w14:paraId="6CFF613A" w14:textId="77777777" w:rsidR="009958F5" w:rsidRPr="00EE27E4" w:rsidRDefault="009958F5" w:rsidP="009958F5">
      <w:pPr>
        <w:spacing w:line="240" w:lineRule="auto"/>
        <w:rPr>
          <w:rFonts w:eastAsia="Calibri" w:cstheme="minorHAnsi"/>
        </w:rPr>
      </w:pPr>
      <w:r w:rsidRPr="00EE27E4">
        <w:rPr>
          <w:rFonts w:eastAsia="Calibri" w:cstheme="minorHAnsi"/>
        </w:rPr>
        <w:t>Sincerely,</w:t>
      </w:r>
    </w:p>
    <w:p w14:paraId="1C41DE64" w14:textId="77777777" w:rsidR="009958F5" w:rsidRPr="00EE27E4" w:rsidRDefault="009958F5" w:rsidP="009958F5">
      <w:pPr>
        <w:spacing w:line="240" w:lineRule="auto"/>
        <w:rPr>
          <w:rFonts w:eastAsia="Calibri" w:cstheme="minorHAnsi"/>
        </w:rPr>
      </w:pPr>
    </w:p>
    <w:p w14:paraId="25FD6098" w14:textId="77777777" w:rsidR="009958F5" w:rsidRPr="00EE27E4" w:rsidRDefault="009958F5" w:rsidP="009958F5">
      <w:pPr>
        <w:spacing w:line="240" w:lineRule="auto"/>
        <w:rPr>
          <w:rFonts w:eastAsia="Calibri" w:cstheme="minorHAnsi"/>
        </w:rPr>
      </w:pPr>
      <w:r w:rsidRPr="00EE27E4">
        <w:rPr>
          <w:rFonts w:eastAsia="Calibri" w:cstheme="minorHAnsi"/>
        </w:rPr>
        <w:t>/s/</w:t>
      </w:r>
    </w:p>
    <w:p w14:paraId="046F7EE4" w14:textId="77777777" w:rsidR="009958F5" w:rsidRPr="00EE27E4" w:rsidRDefault="009958F5" w:rsidP="009958F5">
      <w:pPr>
        <w:spacing w:line="240" w:lineRule="auto"/>
        <w:rPr>
          <w:rFonts w:eastAsia="Calibri" w:cstheme="minorHAnsi"/>
        </w:rPr>
      </w:pPr>
    </w:p>
    <w:p w14:paraId="446391DF" w14:textId="77777777" w:rsidR="009958F5" w:rsidRPr="00EE27E4" w:rsidRDefault="009958F5" w:rsidP="009958F5">
      <w:pPr>
        <w:spacing w:line="240" w:lineRule="auto"/>
        <w:rPr>
          <w:rFonts w:eastAsia="Calibri" w:cstheme="minorHAnsi"/>
        </w:rPr>
      </w:pPr>
      <w:r w:rsidRPr="00EE27E4">
        <w:rPr>
          <w:rFonts w:eastAsia="Calibri" w:cstheme="minorHAnsi"/>
        </w:rPr>
        <w:t>Joel Williquette</w:t>
      </w:r>
    </w:p>
    <w:p w14:paraId="349D47AD" w14:textId="4942E2CF" w:rsidR="00C859DF" w:rsidRPr="00EE27E4" w:rsidRDefault="009958F5" w:rsidP="00FB6975">
      <w:pPr>
        <w:rPr>
          <w:rFonts w:cstheme="minorHAnsi"/>
        </w:rPr>
      </w:pPr>
      <w:r w:rsidRPr="00EE27E4">
        <w:rPr>
          <w:rFonts w:eastAsia="Calibri" w:cstheme="minorHAnsi"/>
        </w:rPr>
        <w:t>Senior Vice President, Operational Risk Policy</w:t>
      </w:r>
      <w:bookmarkEnd w:id="0"/>
    </w:p>
    <w:sectPr w:rsidR="00C859DF" w:rsidRPr="00EE27E4" w:rsidSect="00956516">
      <w:headerReference w:type="default" r:id="rId11"/>
      <w:footerReference w:type="default" r:id="rId12"/>
      <w:headerReference w:type="first" r:id="rId13"/>
      <w:footerReference w:type="first" r:id="rId14"/>
      <w:pgSz w:w="12240" w:h="15840"/>
      <w:pgMar w:top="1296" w:right="1440" w:bottom="1440" w:left="1440" w:header="44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C41BE" w14:textId="77777777" w:rsidR="00B768EE" w:rsidRDefault="00B768EE" w:rsidP="002B43C3">
      <w:r>
        <w:separator/>
      </w:r>
    </w:p>
  </w:endnote>
  <w:endnote w:type="continuationSeparator" w:id="0">
    <w:p w14:paraId="7AB2617A" w14:textId="77777777" w:rsidR="00B768EE" w:rsidRDefault="00B768EE" w:rsidP="002B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B8B8" w14:textId="77777777" w:rsidR="00F264B8" w:rsidRDefault="00F264B8" w:rsidP="002B43C3">
    <w:pPr>
      <w:pStyle w:val="Footer"/>
    </w:pPr>
    <w:r>
      <w:rPr>
        <w:noProof/>
      </w:rPr>
      <w:drawing>
        <wp:anchor distT="0" distB="0" distL="114300" distR="114300" simplePos="0" relativeHeight="251656192" behindDoc="0" locked="0" layoutInCell="1" allowOverlap="1" wp14:anchorId="2C9E768F" wp14:editId="563728A2">
          <wp:simplePos x="0" y="0"/>
          <wp:positionH relativeFrom="margin">
            <wp:posOffset>-937260</wp:posOffset>
          </wp:positionH>
          <wp:positionV relativeFrom="page">
            <wp:align>bottom</wp:align>
          </wp:positionV>
          <wp:extent cx="7770495" cy="137096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Washington DC Letterhead - Footer(FINAL).jpg"/>
                  <pic:cNvPicPr/>
                </pic:nvPicPr>
                <pic:blipFill>
                  <a:blip r:embed="rId1">
                    <a:extLst>
                      <a:ext uri="{28A0092B-C50C-407E-A947-70E740481C1C}">
                        <a14:useLocalDpi xmlns:a14="http://schemas.microsoft.com/office/drawing/2010/main" val="0"/>
                      </a:ext>
                    </a:extLst>
                  </a:blip>
                  <a:stretch>
                    <a:fillRect/>
                  </a:stretch>
                </pic:blipFill>
                <pic:spPr>
                  <a:xfrm>
                    <a:off x="0" y="0"/>
                    <a:ext cx="7770495" cy="13709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B12E" w14:textId="77777777" w:rsidR="00CA7D9B" w:rsidRDefault="009022B2" w:rsidP="002B43C3">
    <w:pPr>
      <w:pStyle w:val="Footer"/>
    </w:pPr>
    <w:r>
      <w:rPr>
        <w:noProof/>
      </w:rPr>
      <w:drawing>
        <wp:anchor distT="0" distB="0" distL="114300" distR="114300" simplePos="0" relativeHeight="251658240" behindDoc="0" locked="0" layoutInCell="1" allowOverlap="1" wp14:anchorId="3598B040" wp14:editId="500B1AAE">
          <wp:simplePos x="0" y="0"/>
          <wp:positionH relativeFrom="page">
            <wp:align>left</wp:align>
          </wp:positionH>
          <wp:positionV relativeFrom="page">
            <wp:align>bottom</wp:align>
          </wp:positionV>
          <wp:extent cx="7814310" cy="137858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14310" cy="137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32B85" w14:textId="77777777" w:rsidR="00B768EE" w:rsidRDefault="00B768EE" w:rsidP="002B43C3">
      <w:r>
        <w:separator/>
      </w:r>
    </w:p>
  </w:footnote>
  <w:footnote w:type="continuationSeparator" w:id="0">
    <w:p w14:paraId="377D6285" w14:textId="77777777" w:rsidR="00B768EE" w:rsidRDefault="00B768EE" w:rsidP="002B43C3">
      <w:r>
        <w:continuationSeparator/>
      </w:r>
    </w:p>
  </w:footnote>
  <w:footnote w:id="1">
    <w:p w14:paraId="5211AF94" w14:textId="77777777" w:rsidR="00424D17" w:rsidRPr="0003001F" w:rsidRDefault="009958F5" w:rsidP="00424D17">
      <w:pPr>
        <w:pStyle w:val="FootnoteText"/>
        <w:rPr>
          <w:i/>
          <w:iCs/>
        </w:rPr>
      </w:pPr>
      <w:r w:rsidRPr="0003001F">
        <w:rPr>
          <w:rStyle w:val="FootnoteReference"/>
          <w:i/>
          <w:iCs/>
        </w:rPr>
        <w:footnoteRef/>
      </w:r>
      <w:r w:rsidR="00EC5485" w:rsidRPr="0003001F">
        <w:rPr>
          <w:i/>
          <w:iCs/>
        </w:rPr>
        <w:t xml:space="preserve"> </w:t>
      </w:r>
      <w:r w:rsidR="00424D17" w:rsidRPr="0003001F">
        <w:rPr>
          <w:i/>
          <w:iCs/>
        </w:rPr>
        <w:t>The Independent Community Bankers of America® creates and promotes an environment where community banks flourish. ICBA is dedicated exclusively to representing the interests of the community banking industry and its membership through effective advocacy, best-in-class education, and high-quality products and services.</w:t>
      </w:r>
    </w:p>
    <w:p w14:paraId="0B899CA2" w14:textId="77777777" w:rsidR="00424D17" w:rsidRPr="0003001F" w:rsidRDefault="00424D17" w:rsidP="00424D17">
      <w:pPr>
        <w:pStyle w:val="FootnoteText"/>
        <w:rPr>
          <w:i/>
          <w:iCs/>
        </w:rPr>
      </w:pPr>
    </w:p>
    <w:p w14:paraId="2806F89D" w14:textId="6DB217E3" w:rsidR="009958F5" w:rsidRDefault="00424D17" w:rsidP="009958F5">
      <w:pPr>
        <w:pStyle w:val="FootnoteText"/>
      </w:pPr>
      <w:r w:rsidRPr="0003001F">
        <w:rPr>
          <w:i/>
          <w:iCs/>
        </w:rPr>
        <w:t xml:space="preserve">With nearly 50,000 locations nationwide, community banks constitute 99 percent of all banks, employ nearly 700,000 Americans and are the only physical banking presence in one in three U.S. counties. Holding more than $5.8 trillion in assets, over $4.9 trillion in deposits, and more than $3.5 trillion in loans to consumers, small businesses and the agricultural community, community banks channel local deposits into the Main Streets and neighborhoods they serve, spurring job creation, fostering innovation and fueling their customers’ dreams in communities throughout America. For more information, visit ICBA’s website at www.icba.org </w:t>
      </w:r>
      <w:r w:rsidR="009958F5" w:rsidRPr="00215F15">
        <w:rPr>
          <w:rStyle w:val="normaltextrun"/>
          <w:i/>
          <w:iCs/>
          <w:color w:val="000000"/>
          <w:shd w:val="clear" w:color="auto" w:fill="FFFFFF"/>
        </w:rPr>
        <w:t> </w:t>
      </w:r>
    </w:p>
  </w:footnote>
  <w:footnote w:id="2">
    <w:p w14:paraId="21795B27" w14:textId="297FC0D8" w:rsidR="00961FD9" w:rsidRDefault="00961FD9">
      <w:pPr>
        <w:pStyle w:val="FootnoteText"/>
      </w:pPr>
      <w:r>
        <w:rPr>
          <w:rStyle w:val="FootnoteReference"/>
        </w:rPr>
        <w:footnoteRef/>
      </w:r>
      <w:r>
        <w:t xml:space="preserve"> </w:t>
      </w:r>
      <w:r w:rsidRPr="00961FD9">
        <w:t>12 CFR § 609</w:t>
      </w:r>
    </w:p>
  </w:footnote>
  <w:footnote w:id="3">
    <w:p w14:paraId="2B60D55C" w14:textId="3CF9B6FE" w:rsidR="00F14284" w:rsidRDefault="00F14284" w:rsidP="00F14284">
      <w:pPr>
        <w:pStyle w:val="FootnoteText"/>
      </w:pPr>
      <w:r>
        <w:rPr>
          <w:rStyle w:val="FootnoteReference"/>
        </w:rPr>
        <w:footnoteRef/>
      </w:r>
      <w:r>
        <w:t xml:space="preserve"> </w:t>
      </w:r>
      <w:hyperlink r:id="rId1" w:history="1">
        <w:r w:rsidR="00890417">
          <w:rPr>
            <w:rStyle w:val="Hyperlink"/>
          </w:rPr>
          <w:t>OCC | B</w:t>
        </w:r>
        <w:r w:rsidR="00DA06BB">
          <w:rPr>
            <w:rStyle w:val="Hyperlink"/>
          </w:rPr>
          <w:t>ank Information Technology (BIT) Issuances</w:t>
        </w:r>
      </w:hyperlink>
      <w:r w:rsidR="00890417">
        <w:t xml:space="preserve">. Accessed September </w:t>
      </w:r>
      <w:r w:rsidR="00DA3A8E">
        <w:t>23</w:t>
      </w:r>
      <w:r w:rsidR="00890417">
        <w:t>, 2022.</w:t>
      </w:r>
    </w:p>
  </w:footnote>
  <w:footnote w:id="4">
    <w:p w14:paraId="3CE5F7C0" w14:textId="20A630E3" w:rsidR="00F14284" w:rsidRDefault="00F14284" w:rsidP="00F14284">
      <w:pPr>
        <w:pStyle w:val="FootnoteText"/>
      </w:pPr>
      <w:r>
        <w:rPr>
          <w:rStyle w:val="FootnoteReference"/>
        </w:rPr>
        <w:footnoteRef/>
      </w:r>
      <w:r>
        <w:t xml:space="preserve"> </w:t>
      </w:r>
      <w:hyperlink r:id="rId2" w:history="1">
        <w:r w:rsidR="008E2C22">
          <w:rPr>
            <w:rStyle w:val="Hyperlink"/>
          </w:rPr>
          <w:t>FRB | S</w:t>
        </w:r>
        <w:r w:rsidR="00DA06BB">
          <w:rPr>
            <w:rStyle w:val="Hyperlink"/>
          </w:rPr>
          <w:t>upervisory Policy and Guidance Topics</w:t>
        </w:r>
      </w:hyperlink>
      <w:r w:rsidR="00890417">
        <w:t xml:space="preserve">. Accessed September </w:t>
      </w:r>
      <w:r w:rsidR="00DA3A8E">
        <w:t>23</w:t>
      </w:r>
      <w:r w:rsidR="00890417">
        <w:t>, 2022.</w:t>
      </w:r>
    </w:p>
  </w:footnote>
  <w:footnote w:id="5">
    <w:p w14:paraId="5D5E459C" w14:textId="228ECE8F" w:rsidR="00F14284" w:rsidRDefault="00F14284" w:rsidP="00F14284">
      <w:pPr>
        <w:pStyle w:val="FootnoteText"/>
      </w:pPr>
      <w:r>
        <w:rPr>
          <w:rStyle w:val="FootnoteReference"/>
        </w:rPr>
        <w:footnoteRef/>
      </w:r>
      <w:r>
        <w:t xml:space="preserve"> </w:t>
      </w:r>
      <w:hyperlink r:id="rId3" w:history="1">
        <w:r w:rsidR="00890417">
          <w:rPr>
            <w:rStyle w:val="Hyperlink"/>
          </w:rPr>
          <w:t>FDIC | I</w:t>
        </w:r>
        <w:r w:rsidR="008E2C22">
          <w:rPr>
            <w:rStyle w:val="Hyperlink"/>
          </w:rPr>
          <w:t>nformation Technology (IT) and Cybersecurity</w:t>
        </w:r>
      </w:hyperlink>
      <w:r w:rsidR="00890417">
        <w:t xml:space="preserve">. Accessed September </w:t>
      </w:r>
      <w:r w:rsidR="00DA3A8E">
        <w:t>23</w:t>
      </w:r>
      <w:r w:rsidR="00890417">
        <w:t>, 2022.</w:t>
      </w:r>
    </w:p>
  </w:footnote>
  <w:footnote w:id="6">
    <w:p w14:paraId="72DB9618" w14:textId="4014FE24" w:rsidR="00DA3A8E" w:rsidRDefault="00DA3A8E">
      <w:pPr>
        <w:pStyle w:val="FootnoteText"/>
      </w:pPr>
      <w:r>
        <w:rPr>
          <w:rStyle w:val="FootnoteReference"/>
        </w:rPr>
        <w:footnoteRef/>
      </w:r>
      <w:r>
        <w:t xml:space="preserve"> </w:t>
      </w:r>
      <w:hyperlink r:id="rId4" w:history="1">
        <w:r w:rsidR="002345E5">
          <w:rPr>
            <w:rStyle w:val="Hyperlink"/>
          </w:rPr>
          <w:t>FFIEC IT Examination Handbook InfoBase - Information Security</w:t>
        </w:r>
      </w:hyperlink>
      <w:r w:rsidR="002345E5">
        <w:t>. Accessed September 23, 2022.</w:t>
      </w:r>
    </w:p>
  </w:footnote>
  <w:footnote w:id="7">
    <w:p w14:paraId="35071DF6" w14:textId="1DE67093" w:rsidR="00EE27E4" w:rsidRDefault="00EE27E4" w:rsidP="00EE27E4">
      <w:pPr>
        <w:pStyle w:val="FootnoteText"/>
      </w:pPr>
      <w:r>
        <w:rPr>
          <w:rStyle w:val="FootnoteReference"/>
        </w:rPr>
        <w:footnoteRef/>
      </w:r>
      <w:r>
        <w:t xml:space="preserve"> </w:t>
      </w:r>
      <w:hyperlink r:id="rId5" w:history="1">
        <w:r w:rsidR="00DA3A8E">
          <w:rPr>
            <w:rStyle w:val="Hyperlink"/>
          </w:rPr>
          <w:t>FDIC | FDIC Law, Regulations, Related Acts</w:t>
        </w:r>
      </w:hyperlink>
      <w:r w:rsidR="00DA3A8E">
        <w:t>. Accessed September 23,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308765"/>
      <w:docPartObj>
        <w:docPartGallery w:val="Page Numbers (Top of Page)"/>
        <w:docPartUnique/>
      </w:docPartObj>
    </w:sdtPr>
    <w:sdtEndPr>
      <w:rPr>
        <w:noProof/>
      </w:rPr>
    </w:sdtEndPr>
    <w:sdtContent>
      <w:p w14:paraId="38A7C480" w14:textId="5A5AA61C" w:rsidR="00FE512A" w:rsidRDefault="00FE512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E4AA492" w14:textId="77777777" w:rsidR="00FE512A" w:rsidRDefault="00FE51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527F" w14:textId="4A4875B9" w:rsidR="00CA7D9B" w:rsidRDefault="00542ABB" w:rsidP="002B43C3">
    <w:pPr>
      <w:pStyle w:val="Header"/>
    </w:pPr>
    <w:r>
      <w:rPr>
        <w:noProof/>
      </w:rPr>
      <w:drawing>
        <wp:anchor distT="0" distB="0" distL="114300" distR="114300" simplePos="0" relativeHeight="251660288" behindDoc="1" locked="0" layoutInCell="1" allowOverlap="1" wp14:anchorId="58D91BC3" wp14:editId="7875C66E">
          <wp:simplePos x="0" y="0"/>
          <wp:positionH relativeFrom="column">
            <wp:posOffset>-914400</wp:posOffset>
          </wp:positionH>
          <wp:positionV relativeFrom="paragraph">
            <wp:posOffset>-269763</wp:posOffset>
          </wp:positionV>
          <wp:extent cx="7772400" cy="18288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31ED4"/>
    <w:multiLevelType w:val="hybridMultilevel"/>
    <w:tmpl w:val="CEE0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AF3EC9"/>
    <w:multiLevelType w:val="hybridMultilevel"/>
    <w:tmpl w:val="04184B58"/>
    <w:lvl w:ilvl="0" w:tplc="34DAF8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0023984">
    <w:abstractNumId w:val="0"/>
  </w:num>
  <w:num w:numId="2" w16cid:durableId="2079589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K3tDAxNTcztzSwNDVX0lEKTi0uzszPAykwNK0FALRhZAAtAAAA"/>
  </w:docVars>
  <w:rsids>
    <w:rsidRoot w:val="00C859DF"/>
    <w:rsid w:val="00000AB2"/>
    <w:rsid w:val="000055D5"/>
    <w:rsid w:val="00016CDF"/>
    <w:rsid w:val="00023BF7"/>
    <w:rsid w:val="00024855"/>
    <w:rsid w:val="0003001F"/>
    <w:rsid w:val="00042884"/>
    <w:rsid w:val="00051728"/>
    <w:rsid w:val="00071587"/>
    <w:rsid w:val="00082443"/>
    <w:rsid w:val="00085E53"/>
    <w:rsid w:val="00087337"/>
    <w:rsid w:val="00094EA9"/>
    <w:rsid w:val="000A39B4"/>
    <w:rsid w:val="000A694B"/>
    <w:rsid w:val="000B026F"/>
    <w:rsid w:val="000B2AF3"/>
    <w:rsid w:val="000B3133"/>
    <w:rsid w:val="000C030D"/>
    <w:rsid w:val="000C7411"/>
    <w:rsid w:val="000D2C9D"/>
    <w:rsid w:val="000D5A39"/>
    <w:rsid w:val="000F3CA0"/>
    <w:rsid w:val="000F3CFD"/>
    <w:rsid w:val="000F43B3"/>
    <w:rsid w:val="000F69FA"/>
    <w:rsid w:val="001066EF"/>
    <w:rsid w:val="0012107F"/>
    <w:rsid w:val="00123F1A"/>
    <w:rsid w:val="00142CD6"/>
    <w:rsid w:val="00150090"/>
    <w:rsid w:val="00163D50"/>
    <w:rsid w:val="00173E54"/>
    <w:rsid w:val="001760EA"/>
    <w:rsid w:val="00185FD0"/>
    <w:rsid w:val="001A461A"/>
    <w:rsid w:val="001B401D"/>
    <w:rsid w:val="001C6AC0"/>
    <w:rsid w:val="001D0B57"/>
    <w:rsid w:val="001D2C0A"/>
    <w:rsid w:val="00212E51"/>
    <w:rsid w:val="002345E5"/>
    <w:rsid w:val="00246B0E"/>
    <w:rsid w:val="002476FC"/>
    <w:rsid w:val="00247729"/>
    <w:rsid w:val="00265E10"/>
    <w:rsid w:val="00273F96"/>
    <w:rsid w:val="002827D1"/>
    <w:rsid w:val="002840E4"/>
    <w:rsid w:val="00295B43"/>
    <w:rsid w:val="002B43C3"/>
    <w:rsid w:val="002D4446"/>
    <w:rsid w:val="002D5C19"/>
    <w:rsid w:val="002E4494"/>
    <w:rsid w:val="00305F73"/>
    <w:rsid w:val="00324828"/>
    <w:rsid w:val="00324AB0"/>
    <w:rsid w:val="00352EB4"/>
    <w:rsid w:val="00360018"/>
    <w:rsid w:val="00364B3E"/>
    <w:rsid w:val="00383871"/>
    <w:rsid w:val="00384531"/>
    <w:rsid w:val="0039003A"/>
    <w:rsid w:val="00396B67"/>
    <w:rsid w:val="003979D5"/>
    <w:rsid w:val="00397B2F"/>
    <w:rsid w:val="003A0EDF"/>
    <w:rsid w:val="003B32B6"/>
    <w:rsid w:val="003E1F1E"/>
    <w:rsid w:val="003F7C31"/>
    <w:rsid w:val="00410B60"/>
    <w:rsid w:val="00423050"/>
    <w:rsid w:val="00424D17"/>
    <w:rsid w:val="0042694A"/>
    <w:rsid w:val="004412C7"/>
    <w:rsid w:val="00467936"/>
    <w:rsid w:val="00490E92"/>
    <w:rsid w:val="004B26B9"/>
    <w:rsid w:val="004B3D8A"/>
    <w:rsid w:val="004C7B6C"/>
    <w:rsid w:val="004D50AC"/>
    <w:rsid w:val="004D5DE9"/>
    <w:rsid w:val="0052264B"/>
    <w:rsid w:val="00542ABB"/>
    <w:rsid w:val="00571DDF"/>
    <w:rsid w:val="00591DF6"/>
    <w:rsid w:val="005A60E9"/>
    <w:rsid w:val="005B24F6"/>
    <w:rsid w:val="005B6F55"/>
    <w:rsid w:val="005C09E8"/>
    <w:rsid w:val="005C78B5"/>
    <w:rsid w:val="005C7A86"/>
    <w:rsid w:val="005D38C7"/>
    <w:rsid w:val="005F57A6"/>
    <w:rsid w:val="0060732F"/>
    <w:rsid w:val="0061442B"/>
    <w:rsid w:val="00616DC8"/>
    <w:rsid w:val="006219DE"/>
    <w:rsid w:val="0062243A"/>
    <w:rsid w:val="00624644"/>
    <w:rsid w:val="00625028"/>
    <w:rsid w:val="00665DE8"/>
    <w:rsid w:val="0066613C"/>
    <w:rsid w:val="006746C9"/>
    <w:rsid w:val="0069256B"/>
    <w:rsid w:val="006B7687"/>
    <w:rsid w:val="006C743F"/>
    <w:rsid w:val="0070631F"/>
    <w:rsid w:val="007219A9"/>
    <w:rsid w:val="007322F6"/>
    <w:rsid w:val="007641DE"/>
    <w:rsid w:val="00777D93"/>
    <w:rsid w:val="0078013C"/>
    <w:rsid w:val="007A2615"/>
    <w:rsid w:val="007B597F"/>
    <w:rsid w:val="007B7615"/>
    <w:rsid w:val="007C5924"/>
    <w:rsid w:val="007E284B"/>
    <w:rsid w:val="007E533A"/>
    <w:rsid w:val="007F2235"/>
    <w:rsid w:val="007F22C4"/>
    <w:rsid w:val="007F318E"/>
    <w:rsid w:val="0081626D"/>
    <w:rsid w:val="008313D4"/>
    <w:rsid w:val="00832CA4"/>
    <w:rsid w:val="00840A4A"/>
    <w:rsid w:val="00865CAA"/>
    <w:rsid w:val="00866E9B"/>
    <w:rsid w:val="008679D5"/>
    <w:rsid w:val="00876284"/>
    <w:rsid w:val="00876D58"/>
    <w:rsid w:val="00881A8A"/>
    <w:rsid w:val="00890417"/>
    <w:rsid w:val="008A57BA"/>
    <w:rsid w:val="008B2657"/>
    <w:rsid w:val="008C4B82"/>
    <w:rsid w:val="008E0587"/>
    <w:rsid w:val="008E277F"/>
    <w:rsid w:val="008E28BA"/>
    <w:rsid w:val="008E2C22"/>
    <w:rsid w:val="008F3121"/>
    <w:rsid w:val="009022B2"/>
    <w:rsid w:val="00926859"/>
    <w:rsid w:val="009479CE"/>
    <w:rsid w:val="00950CB9"/>
    <w:rsid w:val="00953018"/>
    <w:rsid w:val="0095439E"/>
    <w:rsid w:val="00956516"/>
    <w:rsid w:val="00960E23"/>
    <w:rsid w:val="00961FD9"/>
    <w:rsid w:val="009637EF"/>
    <w:rsid w:val="0097499B"/>
    <w:rsid w:val="00975351"/>
    <w:rsid w:val="0099173B"/>
    <w:rsid w:val="009958F5"/>
    <w:rsid w:val="009A1529"/>
    <w:rsid w:val="009A1799"/>
    <w:rsid w:val="009A33C3"/>
    <w:rsid w:val="009A7FFD"/>
    <w:rsid w:val="009B2A43"/>
    <w:rsid w:val="009B555A"/>
    <w:rsid w:val="009C5757"/>
    <w:rsid w:val="009C6B6E"/>
    <w:rsid w:val="009D7152"/>
    <w:rsid w:val="009E201E"/>
    <w:rsid w:val="00A35B7E"/>
    <w:rsid w:val="00A43ACD"/>
    <w:rsid w:val="00A50C21"/>
    <w:rsid w:val="00A608D9"/>
    <w:rsid w:val="00A60D0D"/>
    <w:rsid w:val="00A70BA0"/>
    <w:rsid w:val="00A749F0"/>
    <w:rsid w:val="00A74A5B"/>
    <w:rsid w:val="00A940D8"/>
    <w:rsid w:val="00A972B5"/>
    <w:rsid w:val="00AC3121"/>
    <w:rsid w:val="00AC3549"/>
    <w:rsid w:val="00AD0520"/>
    <w:rsid w:val="00AD1DB6"/>
    <w:rsid w:val="00AD7518"/>
    <w:rsid w:val="00AE10A0"/>
    <w:rsid w:val="00AE1FF9"/>
    <w:rsid w:val="00AF4376"/>
    <w:rsid w:val="00B139B7"/>
    <w:rsid w:val="00B13E14"/>
    <w:rsid w:val="00B2597F"/>
    <w:rsid w:val="00B51869"/>
    <w:rsid w:val="00B72588"/>
    <w:rsid w:val="00B768EE"/>
    <w:rsid w:val="00B97219"/>
    <w:rsid w:val="00BA2E5C"/>
    <w:rsid w:val="00BB083B"/>
    <w:rsid w:val="00BB14E9"/>
    <w:rsid w:val="00BC0B4F"/>
    <w:rsid w:val="00BC4464"/>
    <w:rsid w:val="00BD24BA"/>
    <w:rsid w:val="00BF0376"/>
    <w:rsid w:val="00BF6852"/>
    <w:rsid w:val="00BF6FD5"/>
    <w:rsid w:val="00C25B64"/>
    <w:rsid w:val="00C26737"/>
    <w:rsid w:val="00C34BEC"/>
    <w:rsid w:val="00C42096"/>
    <w:rsid w:val="00C46652"/>
    <w:rsid w:val="00C66075"/>
    <w:rsid w:val="00C74DA5"/>
    <w:rsid w:val="00C859DF"/>
    <w:rsid w:val="00C96052"/>
    <w:rsid w:val="00CA7D9B"/>
    <w:rsid w:val="00CB11F2"/>
    <w:rsid w:val="00CD2BDB"/>
    <w:rsid w:val="00CD5AC7"/>
    <w:rsid w:val="00CE4F03"/>
    <w:rsid w:val="00D13BBB"/>
    <w:rsid w:val="00D16AB8"/>
    <w:rsid w:val="00D40CA3"/>
    <w:rsid w:val="00D47F62"/>
    <w:rsid w:val="00D67A82"/>
    <w:rsid w:val="00D86D32"/>
    <w:rsid w:val="00D93956"/>
    <w:rsid w:val="00DA06BB"/>
    <w:rsid w:val="00DA3A8E"/>
    <w:rsid w:val="00DC7E68"/>
    <w:rsid w:val="00DD71FD"/>
    <w:rsid w:val="00DF0EDC"/>
    <w:rsid w:val="00E01709"/>
    <w:rsid w:val="00E269E4"/>
    <w:rsid w:val="00E8144A"/>
    <w:rsid w:val="00E842E2"/>
    <w:rsid w:val="00E876CD"/>
    <w:rsid w:val="00E92DD7"/>
    <w:rsid w:val="00E95A52"/>
    <w:rsid w:val="00E964D0"/>
    <w:rsid w:val="00EB12D1"/>
    <w:rsid w:val="00EB6751"/>
    <w:rsid w:val="00EC3BA4"/>
    <w:rsid w:val="00EC5485"/>
    <w:rsid w:val="00EC79C9"/>
    <w:rsid w:val="00ED7762"/>
    <w:rsid w:val="00EE27E4"/>
    <w:rsid w:val="00EE6B79"/>
    <w:rsid w:val="00EE7EEB"/>
    <w:rsid w:val="00EF1E3B"/>
    <w:rsid w:val="00F14284"/>
    <w:rsid w:val="00F163D3"/>
    <w:rsid w:val="00F17766"/>
    <w:rsid w:val="00F264B8"/>
    <w:rsid w:val="00F32DD6"/>
    <w:rsid w:val="00F33416"/>
    <w:rsid w:val="00F3477B"/>
    <w:rsid w:val="00F450D5"/>
    <w:rsid w:val="00F5209F"/>
    <w:rsid w:val="00F526EE"/>
    <w:rsid w:val="00F57593"/>
    <w:rsid w:val="00F57888"/>
    <w:rsid w:val="00F736EB"/>
    <w:rsid w:val="00F90FC5"/>
    <w:rsid w:val="00FB2219"/>
    <w:rsid w:val="00FB6975"/>
    <w:rsid w:val="00FD03D5"/>
    <w:rsid w:val="00FE027D"/>
    <w:rsid w:val="00FE077C"/>
    <w:rsid w:val="00FE5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05ED7"/>
  <w14:defaultImageDpi w14:val="32767"/>
  <w15:chartTrackingRefBased/>
  <w15:docId w15:val="{66854CAF-E0A9-4AB4-8A75-990A5F09E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B43C3"/>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4B8"/>
    <w:pPr>
      <w:tabs>
        <w:tab w:val="center" w:pos="4680"/>
        <w:tab w:val="right" w:pos="9360"/>
      </w:tabs>
    </w:pPr>
  </w:style>
  <w:style w:type="character" w:customStyle="1" w:styleId="HeaderChar">
    <w:name w:val="Header Char"/>
    <w:basedOn w:val="DefaultParagraphFont"/>
    <w:link w:val="Header"/>
    <w:uiPriority w:val="99"/>
    <w:rsid w:val="00F264B8"/>
  </w:style>
  <w:style w:type="paragraph" w:styleId="Footer">
    <w:name w:val="footer"/>
    <w:basedOn w:val="Normal"/>
    <w:link w:val="FooterChar"/>
    <w:uiPriority w:val="99"/>
    <w:unhideWhenUsed/>
    <w:rsid w:val="00F264B8"/>
    <w:pPr>
      <w:tabs>
        <w:tab w:val="center" w:pos="4680"/>
        <w:tab w:val="right" w:pos="9360"/>
      </w:tabs>
    </w:pPr>
  </w:style>
  <w:style w:type="character" w:customStyle="1" w:styleId="FooterChar">
    <w:name w:val="Footer Char"/>
    <w:basedOn w:val="DefaultParagraphFont"/>
    <w:link w:val="Footer"/>
    <w:uiPriority w:val="99"/>
    <w:rsid w:val="00F264B8"/>
  </w:style>
  <w:style w:type="paragraph" w:styleId="BalloonText">
    <w:name w:val="Balloon Text"/>
    <w:basedOn w:val="Normal"/>
    <w:link w:val="BalloonTextChar"/>
    <w:uiPriority w:val="99"/>
    <w:semiHidden/>
    <w:unhideWhenUsed/>
    <w:rsid w:val="006219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9DE"/>
    <w:rPr>
      <w:rFonts w:ascii="Times New Roman" w:hAnsi="Times New Roman" w:cs="Times New Roman"/>
      <w:sz w:val="18"/>
      <w:szCs w:val="18"/>
    </w:rPr>
  </w:style>
  <w:style w:type="paragraph" w:customStyle="1" w:styleId="BasicParagraph">
    <w:name w:val="[Basic Paragraph]"/>
    <w:basedOn w:val="Normal"/>
    <w:uiPriority w:val="99"/>
    <w:rsid w:val="002B43C3"/>
    <w:pPr>
      <w:autoSpaceDE w:val="0"/>
      <w:autoSpaceDN w:val="0"/>
      <w:adjustRightInd w:val="0"/>
      <w:spacing w:line="288" w:lineRule="auto"/>
      <w:textAlignment w:val="center"/>
    </w:pPr>
    <w:rPr>
      <w:rFonts w:ascii="MinionPro-Regular" w:hAnsi="MinionPro-Regular" w:cs="MinionPro-Regular"/>
      <w:color w:val="000000"/>
    </w:rPr>
  </w:style>
  <w:style w:type="paragraph" w:styleId="FootnoteText">
    <w:name w:val="footnote text"/>
    <w:basedOn w:val="Normal"/>
    <w:link w:val="FootnoteTextChar"/>
    <w:uiPriority w:val="99"/>
    <w:unhideWhenUsed/>
    <w:rsid w:val="009958F5"/>
    <w:pPr>
      <w:spacing w:line="240" w:lineRule="auto"/>
    </w:pPr>
    <w:rPr>
      <w:sz w:val="20"/>
      <w:szCs w:val="20"/>
    </w:rPr>
  </w:style>
  <w:style w:type="character" w:customStyle="1" w:styleId="FootnoteTextChar">
    <w:name w:val="Footnote Text Char"/>
    <w:basedOn w:val="DefaultParagraphFont"/>
    <w:link w:val="FootnoteText"/>
    <w:uiPriority w:val="99"/>
    <w:rsid w:val="009958F5"/>
    <w:rPr>
      <w:sz w:val="20"/>
      <w:szCs w:val="20"/>
    </w:rPr>
  </w:style>
  <w:style w:type="character" w:styleId="FootnoteReference">
    <w:name w:val="footnote reference"/>
    <w:basedOn w:val="DefaultParagraphFont"/>
    <w:uiPriority w:val="99"/>
    <w:unhideWhenUsed/>
    <w:qFormat/>
    <w:rsid w:val="009958F5"/>
    <w:rPr>
      <w:vertAlign w:val="superscript"/>
    </w:rPr>
  </w:style>
  <w:style w:type="character" w:customStyle="1" w:styleId="normaltextrun">
    <w:name w:val="normaltextrun"/>
    <w:basedOn w:val="DefaultParagraphFont"/>
    <w:rsid w:val="009958F5"/>
  </w:style>
  <w:style w:type="character" w:styleId="Hyperlink">
    <w:name w:val="Hyperlink"/>
    <w:basedOn w:val="DefaultParagraphFont"/>
    <w:uiPriority w:val="99"/>
    <w:unhideWhenUsed/>
    <w:rsid w:val="009958F5"/>
    <w:rPr>
      <w:color w:val="0563C1" w:themeColor="hyperlink"/>
      <w:u w:val="single"/>
    </w:rPr>
  </w:style>
  <w:style w:type="character" w:styleId="CommentReference">
    <w:name w:val="annotation reference"/>
    <w:basedOn w:val="DefaultParagraphFont"/>
    <w:uiPriority w:val="99"/>
    <w:semiHidden/>
    <w:unhideWhenUsed/>
    <w:rsid w:val="009958F5"/>
    <w:rPr>
      <w:sz w:val="16"/>
      <w:szCs w:val="16"/>
    </w:rPr>
  </w:style>
  <w:style w:type="paragraph" w:styleId="CommentText">
    <w:name w:val="annotation text"/>
    <w:basedOn w:val="Normal"/>
    <w:link w:val="CommentTextChar"/>
    <w:uiPriority w:val="99"/>
    <w:unhideWhenUsed/>
    <w:rsid w:val="009958F5"/>
    <w:pPr>
      <w:spacing w:line="240" w:lineRule="auto"/>
    </w:pPr>
    <w:rPr>
      <w:sz w:val="20"/>
      <w:szCs w:val="20"/>
    </w:rPr>
  </w:style>
  <w:style w:type="character" w:customStyle="1" w:styleId="CommentTextChar">
    <w:name w:val="Comment Text Char"/>
    <w:basedOn w:val="DefaultParagraphFont"/>
    <w:link w:val="CommentText"/>
    <w:uiPriority w:val="99"/>
    <w:rsid w:val="009958F5"/>
    <w:rPr>
      <w:sz w:val="20"/>
      <w:szCs w:val="20"/>
    </w:rPr>
  </w:style>
  <w:style w:type="paragraph" w:styleId="Revision">
    <w:name w:val="Revision"/>
    <w:hidden/>
    <w:uiPriority w:val="99"/>
    <w:semiHidden/>
    <w:rsid w:val="008679D5"/>
  </w:style>
  <w:style w:type="paragraph" w:styleId="CommentSubject">
    <w:name w:val="annotation subject"/>
    <w:basedOn w:val="CommentText"/>
    <w:next w:val="CommentText"/>
    <w:link w:val="CommentSubjectChar"/>
    <w:uiPriority w:val="99"/>
    <w:semiHidden/>
    <w:unhideWhenUsed/>
    <w:rsid w:val="00D47F62"/>
    <w:rPr>
      <w:b/>
      <w:bCs/>
    </w:rPr>
  </w:style>
  <w:style w:type="character" w:customStyle="1" w:styleId="CommentSubjectChar">
    <w:name w:val="Comment Subject Char"/>
    <w:basedOn w:val="CommentTextChar"/>
    <w:link w:val="CommentSubject"/>
    <w:uiPriority w:val="99"/>
    <w:semiHidden/>
    <w:rsid w:val="00D47F62"/>
    <w:rPr>
      <w:b/>
      <w:bCs/>
      <w:sz w:val="20"/>
      <w:szCs w:val="20"/>
    </w:rPr>
  </w:style>
  <w:style w:type="paragraph" w:styleId="ListParagraph">
    <w:name w:val="List Paragraph"/>
    <w:basedOn w:val="Normal"/>
    <w:uiPriority w:val="34"/>
    <w:qFormat/>
    <w:rsid w:val="00BD24BA"/>
    <w:pPr>
      <w:ind w:left="720"/>
      <w:contextualSpacing/>
    </w:pPr>
  </w:style>
  <w:style w:type="character" w:customStyle="1" w:styleId="eop">
    <w:name w:val="eop"/>
    <w:basedOn w:val="DefaultParagraphFont"/>
    <w:rsid w:val="00624644"/>
  </w:style>
  <w:style w:type="character" w:styleId="UnresolvedMention">
    <w:name w:val="Unresolved Mention"/>
    <w:basedOn w:val="DefaultParagraphFont"/>
    <w:uiPriority w:val="99"/>
    <w:rsid w:val="00DA3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44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fdic.gov/resources/bankers/information-technology/" TargetMode="External"/><Relationship Id="rId2" Type="http://schemas.openxmlformats.org/officeDocument/2006/relationships/hyperlink" Target="https://www.federalreserve.gov/supervisionreg/topics/information-technology-guidance.htm" TargetMode="External"/><Relationship Id="rId1" Type="http://schemas.openxmlformats.org/officeDocument/2006/relationships/hyperlink" Target="https://occ.gov/topics/supervision-and-examination/bank-operations/bit/bit-issuances.html" TargetMode="External"/><Relationship Id="rId5" Type="http://schemas.openxmlformats.org/officeDocument/2006/relationships/hyperlink" Target="https://www.fdic.gov/regulations/laws/rules/7500-4750.html" TargetMode="External"/><Relationship Id="rId4" Type="http://schemas.openxmlformats.org/officeDocument/2006/relationships/hyperlink" Target="https://ithandbook.ffiec.gov/it-booklets/information-security.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Jurukovska\Downloads\MAR_1100A21_2021-2021-22%20ICBA%20Letterhea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E9781FF74202428AD2A3A293E27294" ma:contentTypeVersion="25" ma:contentTypeDescription="Create a new document." ma:contentTypeScope="" ma:versionID="1d85b6309390be7c6e211586d2079471">
  <xsd:schema xmlns:xsd="http://www.w3.org/2001/XMLSchema" xmlns:xs="http://www.w3.org/2001/XMLSchema" xmlns:p="http://schemas.microsoft.com/office/2006/metadata/properties" xmlns:ns1="http://schemas.microsoft.com/sharepoint/v3" xmlns:ns2="ffdaaa50-80e6-4e46-b576-bce2af399b2c" xmlns:ns3="8f5587f7-95b2-4acb-9e4d-063570bcb1a5" targetNamespace="http://schemas.microsoft.com/office/2006/metadata/properties" ma:root="true" ma:fieldsID="de94d86a33876a9fe54030dbfbc7c139" ns1:_="" ns2:_="" ns3:_="">
    <xsd:import namespace="http://schemas.microsoft.com/sharepoint/v3"/>
    <xsd:import namespace="ffdaaa50-80e6-4e46-b576-bce2af399b2c"/>
    <xsd:import namespace="8f5587f7-95b2-4acb-9e4d-063570bcb1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2:TaxCatchAll" minOccurs="0"/>
                <xsd:element ref="ns2:kd438ee94f6f4b7a80955731a81d273c" minOccurs="0"/>
                <xsd:element ref="ns2:mb92744292184ec899971c8415310dbb" minOccurs="0"/>
                <xsd:element ref="ns2:TaxCatchAllLabel" minOccurs="0"/>
                <xsd:element ref="ns3:Year" minOccurs="0"/>
                <xsd:element ref="ns3:fvfe" minOccurs="0"/>
                <xsd:element ref="ns3:Date" minOccurs="0"/>
                <xsd:element ref="ns2:SharedWithUsers" minOccurs="0"/>
                <xsd:element ref="ns2:SharedWithDetails" minOccurs="0"/>
                <xsd:element ref="ns3:MediaServiceDateTaken"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daaa50-80e6-4e46-b576-bce2af399b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5e27fb-7c29-4b6d-a871-8ebf5f25582c}" ma:internalName="TaxCatchAll" ma:showField="CatchAllData" ma:web="ffdaaa50-80e6-4e46-b576-bce2af399b2c">
      <xsd:complexType>
        <xsd:complexContent>
          <xsd:extension base="dms:MultiChoiceLookup">
            <xsd:sequence>
              <xsd:element name="Value" type="dms:Lookup" maxOccurs="unbounded" minOccurs="0" nillable="true"/>
            </xsd:sequence>
          </xsd:extension>
        </xsd:complexContent>
      </xsd:complexType>
    </xsd:element>
    <xsd:element name="kd438ee94f6f4b7a80955731a81d273c" ma:index="14" ma:taxonomy="true" ma:internalName="kd438ee94f6f4b7a80955731a81d273c" ma:taxonomyFieldName="ICBAFunctionalUse" ma:displayName="Functional Use" ma:default="" ma:fieldId="{4d438ee9-4f6f-4b7a-8095-5731a81d273c}" ma:sspId="200ea6a4-c0f9-4ccf-bf6c-dcf772f52e2a" ma:termSetId="fdfb91a7-26ae-491c-b9b6-eab3703c342b" ma:anchorId="00000000-0000-0000-0000-000000000000" ma:open="false" ma:isKeyword="false">
      <xsd:complexType>
        <xsd:sequence>
          <xsd:element ref="pc:Terms" minOccurs="0" maxOccurs="1"/>
        </xsd:sequence>
      </xsd:complexType>
    </xsd:element>
    <xsd:element name="mb92744292184ec899971c8415310dbb" ma:index="16" ma:taxonomy="true" ma:internalName="mb92744292184ec899971c8415310dbb" ma:taxonomyFieldName="ICBAServiceArea" ma:displayName="Service Area" ma:default="" ma:fieldId="{6b927442-9218-4ec8-9997-1c8415310dbb}" ma:taxonomyMulti="true" ma:sspId="200ea6a4-c0f9-4ccf-bf6c-dcf772f52e2a" ma:termSetId="f0638fdf-a279-4d76-a4c5-a854da9570d8" ma:anchorId="00000000-0000-0000-0000-000000000000" ma:open="false" ma:isKeyword="false">
      <xsd:complexType>
        <xsd:sequence>
          <xsd:element ref="pc:Terms" minOccurs="0" maxOccurs="1"/>
        </xsd:sequence>
      </xsd:complexType>
    </xsd:element>
    <xsd:element name="TaxCatchAllLabel" ma:index="17" nillable="true" ma:displayName="Taxonomy Catch All Column1" ma:hidden="true" ma:list="{475e27fb-7c29-4b6d-a871-8ebf5f25582c}" ma:internalName="TaxCatchAllLabel" ma:readOnly="true" ma:showField="CatchAllDataLabel" ma:web="ffdaaa50-80e6-4e46-b576-bce2af399b2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5587f7-95b2-4acb-9e4d-063570bcb1a5"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Year" ma:index="18" nillable="true" ma:displayName="Type" ma:internalName="Year">
      <xsd:simpleType>
        <xsd:restriction base="dms:Text">
          <xsd:maxLength value="255"/>
        </xsd:restriction>
      </xsd:simpleType>
    </xsd:element>
    <xsd:element name="fvfe" ma:index="19" nillable="true" ma:displayName="Topic" ma:internalName="fvfe">
      <xsd:simpleType>
        <xsd:restriction base="dms:Text"/>
      </xsd:simpleType>
    </xsd:element>
    <xsd:element name="Date" ma:index="20" nillable="true" ma:displayName="Date" ma:format="DateOnly" ma:internalName="Date">
      <xsd:simpleType>
        <xsd:restriction base="dms:DateTim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b92744292184ec899971c8415310dbb xmlns="ffdaaa50-80e6-4e46-b576-bce2af399b2c">
      <Terms xmlns="http://schemas.microsoft.com/office/infopath/2007/PartnerControls"/>
    </mb92744292184ec899971c8415310dbb>
    <_ip_UnifiedCompliancePolicyProperties xmlns="http://schemas.microsoft.com/sharepoint/v3" xsi:nil="true"/>
    <TaxCatchAll xmlns="ffdaaa50-80e6-4e46-b576-bce2af399b2c" xsi:nil="true"/>
    <Year xmlns="8f5587f7-95b2-4acb-9e4d-063570bcb1a5" xsi:nil="true"/>
    <fvfe xmlns="8f5587f7-95b2-4acb-9e4d-063570bcb1a5" xsi:nil="true"/>
    <Date xmlns="8f5587f7-95b2-4acb-9e4d-063570bcb1a5" xsi:nil="true"/>
    <kd438ee94f6f4b7a80955731a81d273c xmlns="ffdaaa50-80e6-4e46-b576-bce2af399b2c">
      <Terms xmlns="http://schemas.microsoft.com/office/infopath/2007/PartnerControls"/>
    </kd438ee94f6f4b7a80955731a81d273c>
  </documentManagement>
</p:properties>
</file>

<file path=customXml/itemProps1.xml><?xml version="1.0" encoding="utf-8"?>
<ds:datastoreItem xmlns:ds="http://schemas.openxmlformats.org/officeDocument/2006/customXml" ds:itemID="{FCAB9EC3-1059-4997-94D4-C4F5CCDFE143}">
  <ds:schemaRefs>
    <ds:schemaRef ds:uri="http://schemas.openxmlformats.org/officeDocument/2006/bibliography"/>
  </ds:schemaRefs>
</ds:datastoreItem>
</file>

<file path=customXml/itemProps2.xml><?xml version="1.0" encoding="utf-8"?>
<ds:datastoreItem xmlns:ds="http://schemas.openxmlformats.org/officeDocument/2006/customXml" ds:itemID="{2C81CAC3-EDDE-4D06-80CB-89CAC02D5FF9}">
  <ds:schemaRefs>
    <ds:schemaRef ds:uri="http://schemas.microsoft.com/sharepoint/v3/contenttype/forms"/>
  </ds:schemaRefs>
</ds:datastoreItem>
</file>

<file path=customXml/itemProps3.xml><?xml version="1.0" encoding="utf-8"?>
<ds:datastoreItem xmlns:ds="http://schemas.openxmlformats.org/officeDocument/2006/customXml" ds:itemID="{CB47A0D5-78CF-49FA-BB79-09A62508D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fdaaa50-80e6-4e46-b576-bce2af399b2c"/>
    <ds:schemaRef ds:uri="8f5587f7-95b2-4acb-9e4d-063570bcb1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6ACAF-5AFE-4293-AF2E-721218132BB9}">
  <ds:schemaRefs>
    <ds:schemaRef ds:uri="http://schemas.microsoft.com/office/2006/metadata/properties"/>
    <ds:schemaRef ds:uri="http://schemas.microsoft.com/office/infopath/2007/PartnerControls"/>
    <ds:schemaRef ds:uri="http://schemas.microsoft.com/sharepoint/v3"/>
    <ds:schemaRef ds:uri="ffdaaa50-80e6-4e46-b576-bce2af399b2c"/>
    <ds:schemaRef ds:uri="8f5587f7-95b2-4acb-9e4d-063570bcb1a5"/>
  </ds:schemaRefs>
</ds:datastoreItem>
</file>

<file path=docProps/app.xml><?xml version="1.0" encoding="utf-8"?>
<Properties xmlns="http://schemas.openxmlformats.org/officeDocument/2006/extended-properties" xmlns:vt="http://schemas.openxmlformats.org/officeDocument/2006/docPropsVTypes">
  <Template>MAR_1100A21_2021-2021-22 ICBA Letterhead (3)</Template>
  <TotalTime>1</TotalTime>
  <Pages>3</Pages>
  <Words>615</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Jurukovska</dc:creator>
  <cp:keywords/>
  <dc:description/>
  <cp:lastModifiedBy>Joel Williquette</cp:lastModifiedBy>
  <cp:revision>2</cp:revision>
  <cp:lastPrinted>2019-05-30T15:06:00Z</cp:lastPrinted>
  <dcterms:created xsi:type="dcterms:W3CDTF">2022-09-26T13:56:00Z</dcterms:created>
  <dcterms:modified xsi:type="dcterms:W3CDTF">2022-09-26T13:56:00Z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0x01010031E9781FF74202428AD2A3A293E27294</vt:lpwstr>
  </property>
  <property fmtid="{D5CDD505-2E9C-101B-9397-08002B2CF9AE}" pid="3" name="GrammarlyDocumentId">
    <vt:lpwstr>f2e7ab3cd4e7c0a9c2f7438e5a933c0420fc3226892c86bacc76a85ab4e6aa0c</vt:lpwstr>
  </property>
</Properties>
</file>