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7564B" w14:textId="77777777" w:rsidR="0022290E" w:rsidRDefault="0022290E" w:rsidP="004275DD">
      <w:pPr>
        <w:spacing w:line="276" w:lineRule="auto"/>
        <w:rPr>
          <w:rFonts w:ascii="Times New Roman" w:hAnsi="Times New Roman" w:cs="Times New Roman"/>
          <w:sz w:val="24"/>
          <w:szCs w:val="24"/>
        </w:rPr>
      </w:pPr>
      <w:bookmarkStart w:id="0" w:name="_Hlk182913666"/>
      <w:bookmarkStart w:id="1" w:name="_Hlk182913734"/>
    </w:p>
    <w:p w14:paraId="1EAC5461" w14:textId="55099D98" w:rsidR="004275DD" w:rsidRPr="00B108BD" w:rsidRDefault="004275DD" w:rsidP="004275DD">
      <w:pPr>
        <w:spacing w:line="276" w:lineRule="auto"/>
        <w:rPr>
          <w:rFonts w:ascii="Times New Roman" w:hAnsi="Times New Roman" w:cs="Times New Roman"/>
          <w:sz w:val="24"/>
          <w:szCs w:val="24"/>
        </w:rPr>
      </w:pPr>
      <w:r w:rsidRPr="00B108BD">
        <w:rPr>
          <w:rFonts w:ascii="Times New Roman" w:hAnsi="Times New Roman" w:cs="Times New Roman"/>
          <w:sz w:val="24"/>
          <w:szCs w:val="24"/>
        </w:rPr>
        <w:t xml:space="preserve">December </w:t>
      </w:r>
      <w:r w:rsidR="00CF5599">
        <w:rPr>
          <w:rFonts w:ascii="Times New Roman" w:hAnsi="Times New Roman" w:cs="Times New Roman"/>
          <w:sz w:val="24"/>
          <w:szCs w:val="24"/>
        </w:rPr>
        <w:t>4</w:t>
      </w:r>
      <w:r w:rsidRPr="00B108BD">
        <w:rPr>
          <w:rFonts w:ascii="Times New Roman" w:hAnsi="Times New Roman" w:cs="Times New Roman"/>
          <w:sz w:val="24"/>
          <w:szCs w:val="24"/>
        </w:rPr>
        <w:t>, 2024</w:t>
      </w:r>
    </w:p>
    <w:p w14:paraId="542DDAB7" w14:textId="77777777" w:rsidR="004275DD" w:rsidRPr="00B108BD" w:rsidRDefault="004275DD" w:rsidP="004275DD">
      <w:pPr>
        <w:spacing w:line="276" w:lineRule="auto"/>
        <w:rPr>
          <w:rFonts w:ascii="Times New Roman" w:hAnsi="Times New Roman" w:cs="Times New Roman"/>
          <w:sz w:val="24"/>
          <w:szCs w:val="24"/>
        </w:rPr>
      </w:pPr>
      <w:r w:rsidRPr="00B108BD">
        <w:rPr>
          <w:rFonts w:ascii="Times New Roman" w:hAnsi="Times New Roman" w:cs="Times New Roman"/>
          <w:sz w:val="24"/>
          <w:szCs w:val="24"/>
        </w:rPr>
        <w:t>Autumn R. Agans, Deputy Director                                                                                                                  Office of Regulatory Policy                                                                                                                                       Farm Credit Administration</w:t>
      </w:r>
      <w:r w:rsidRPr="00B108BD">
        <w:rPr>
          <w:rFonts w:ascii="Times New Roman" w:hAnsi="Times New Roman" w:cs="Times New Roman"/>
          <w:sz w:val="24"/>
          <w:szCs w:val="24"/>
        </w:rPr>
        <w:br/>
        <w:t>1501 Farm Credit Drive</w:t>
      </w:r>
      <w:r w:rsidRPr="00B108BD">
        <w:rPr>
          <w:rFonts w:ascii="Times New Roman" w:hAnsi="Times New Roman" w:cs="Times New Roman"/>
          <w:sz w:val="24"/>
          <w:szCs w:val="24"/>
        </w:rPr>
        <w:br/>
        <w:t>McLean, VA 22102-5090</w:t>
      </w:r>
    </w:p>
    <w:p w14:paraId="7E2C7146" w14:textId="51D4DE77" w:rsidR="004275DD" w:rsidRPr="00C62E88" w:rsidRDefault="004275DD" w:rsidP="004275DD">
      <w:pPr>
        <w:spacing w:line="276" w:lineRule="auto"/>
        <w:ind w:left="720" w:hanging="720"/>
        <w:rPr>
          <w:rFonts w:ascii="Times New Roman" w:hAnsi="Times New Roman" w:cs="Times New Roman"/>
          <w:b/>
          <w:bCs/>
          <w:sz w:val="24"/>
          <w:szCs w:val="24"/>
        </w:rPr>
      </w:pPr>
      <w:r w:rsidRPr="00C62E88">
        <w:rPr>
          <w:rFonts w:ascii="Times New Roman" w:hAnsi="Times New Roman" w:cs="Times New Roman"/>
          <w:b/>
          <w:bCs/>
          <w:sz w:val="24"/>
          <w:szCs w:val="24"/>
        </w:rPr>
        <w:t>Re:</w:t>
      </w:r>
      <w:r w:rsidRPr="00C62E88">
        <w:rPr>
          <w:rFonts w:ascii="Times New Roman" w:hAnsi="Times New Roman" w:cs="Times New Roman"/>
          <w:b/>
          <w:bCs/>
          <w:sz w:val="24"/>
          <w:szCs w:val="24"/>
        </w:rPr>
        <w:tab/>
        <w:t xml:space="preserve">Response to Advance Notice of Proposed Rulemaking – </w:t>
      </w:r>
      <w:r w:rsidRPr="00C62E88">
        <w:rPr>
          <w:rFonts w:ascii="Times New Roman" w:hAnsi="Times New Roman" w:cs="Times New Roman"/>
          <w:b/>
          <w:bCs/>
          <w:i/>
          <w:iCs/>
          <w:sz w:val="24"/>
          <w:szCs w:val="24"/>
        </w:rPr>
        <w:t>Loans to Similar Entities</w:t>
      </w:r>
      <w:r w:rsidRPr="00C62E88">
        <w:rPr>
          <w:rFonts w:ascii="Times New Roman" w:hAnsi="Times New Roman" w:cs="Times New Roman"/>
          <w:b/>
          <w:bCs/>
          <w:sz w:val="24"/>
          <w:szCs w:val="24"/>
        </w:rPr>
        <w:t>, Farm Credit Administration, Agency; 12 CFR Part 613; RIN 3052-AD58; 89 FR 72759 (Sep. 6, 2024)</w:t>
      </w:r>
    </w:p>
    <w:p w14:paraId="0A027F9F" w14:textId="2B776724" w:rsidR="004275DD" w:rsidRPr="00B108BD" w:rsidRDefault="004275DD" w:rsidP="004275DD">
      <w:pPr>
        <w:spacing w:line="276" w:lineRule="auto"/>
        <w:rPr>
          <w:rFonts w:ascii="Times New Roman" w:hAnsi="Times New Roman" w:cs="Times New Roman"/>
          <w:sz w:val="24"/>
          <w:szCs w:val="24"/>
        </w:rPr>
      </w:pPr>
      <w:r w:rsidRPr="00B108BD">
        <w:rPr>
          <w:rFonts w:ascii="Times New Roman" w:hAnsi="Times New Roman" w:cs="Times New Roman"/>
          <w:sz w:val="24"/>
          <w:szCs w:val="24"/>
        </w:rPr>
        <w:t>Dear Ms. Agans:</w:t>
      </w:r>
    </w:p>
    <w:p w14:paraId="1CE6AD89" w14:textId="77777777" w:rsidR="004275DD" w:rsidRPr="00B108BD" w:rsidRDefault="004275DD" w:rsidP="004275DD">
      <w:pPr>
        <w:spacing w:line="276" w:lineRule="auto"/>
        <w:rPr>
          <w:rFonts w:ascii="Times New Roman" w:hAnsi="Times New Roman" w:cs="Times New Roman"/>
          <w:sz w:val="24"/>
          <w:szCs w:val="24"/>
        </w:rPr>
      </w:pPr>
      <w:r w:rsidRPr="00B108BD">
        <w:rPr>
          <w:rFonts w:ascii="Times New Roman" w:hAnsi="Times New Roman" w:cs="Times New Roman"/>
          <w:sz w:val="24"/>
          <w:szCs w:val="24"/>
        </w:rPr>
        <w:tab/>
        <w:t xml:space="preserve">AgFirst Farm Credit Bank (“AgFirst”) appreciates the opportunity to comment on the Farm Credit Administration’s (the “FCA”) Advance Notice of Proposed Rulemaking (the “ANPRM”) that was published in the Federal Register on September 6, 2024, relating to similar entity lending activity. </w:t>
      </w:r>
      <w:r w:rsidRPr="00B108BD">
        <w:rPr>
          <w:rFonts w:ascii="Times New Roman" w:hAnsi="Times New Roman" w:cs="Times New Roman"/>
          <w:i/>
          <w:iCs/>
          <w:sz w:val="24"/>
          <w:szCs w:val="24"/>
        </w:rPr>
        <w:t>See</w:t>
      </w:r>
      <w:r w:rsidRPr="00B108BD">
        <w:rPr>
          <w:rFonts w:ascii="Times New Roman" w:hAnsi="Times New Roman" w:cs="Times New Roman"/>
          <w:sz w:val="24"/>
          <w:szCs w:val="24"/>
        </w:rPr>
        <w:t xml:space="preserve"> 89 FR 72759. </w:t>
      </w:r>
    </w:p>
    <w:p w14:paraId="589C3224" w14:textId="558E61E3" w:rsidR="004275DD" w:rsidRPr="00B108BD" w:rsidRDefault="004275DD" w:rsidP="004275DD">
      <w:pPr>
        <w:spacing w:line="276" w:lineRule="auto"/>
        <w:rPr>
          <w:rFonts w:ascii="Times New Roman" w:hAnsi="Times New Roman" w:cs="Times New Roman"/>
          <w:sz w:val="24"/>
          <w:szCs w:val="24"/>
        </w:rPr>
      </w:pPr>
      <w:r w:rsidRPr="00B108BD">
        <w:rPr>
          <w:rFonts w:ascii="Times New Roman" w:hAnsi="Times New Roman" w:cs="Times New Roman"/>
          <w:sz w:val="24"/>
          <w:szCs w:val="24"/>
        </w:rPr>
        <w:tab/>
        <w:t xml:space="preserve">In response to FCA’s ANPRM, FCC assembled and coordinated a multi-disciplinary workgroup of experts (the “Workgroup”), representing </w:t>
      </w:r>
      <w:r w:rsidR="001F42B5">
        <w:rPr>
          <w:rFonts w:ascii="Times New Roman" w:hAnsi="Times New Roman" w:cs="Times New Roman"/>
          <w:sz w:val="24"/>
          <w:szCs w:val="24"/>
        </w:rPr>
        <w:t xml:space="preserve">Farm Credit </w:t>
      </w:r>
      <w:r w:rsidRPr="00B108BD">
        <w:rPr>
          <w:rFonts w:ascii="Times New Roman" w:hAnsi="Times New Roman" w:cs="Times New Roman"/>
          <w:sz w:val="24"/>
          <w:szCs w:val="24"/>
        </w:rPr>
        <w:t>System associations and banks, who met over the course of several weeks to analyze and comment on FCA’s inquiries in the ANPRM based on, among other things, the Farm Credit Act of 1971, as amended (the “Act”), existing FCA regulations, published guidance, and experiences with, and knowledge of, similar entity lending practices, Congressional intent, and safety and soundness considerations. AgFirst had representation on the Workgroup and fully supports FCC’s response. Furthermore, AgFirst would like to emphasize its support of the following issues identified in FCC’s comment letter to the ANPRM:</w:t>
      </w:r>
      <w:bookmarkStart w:id="2" w:name="_Hlk183422344"/>
    </w:p>
    <w:bookmarkEnd w:id="2"/>
    <w:p w14:paraId="6D38E4A9" w14:textId="7E6A2527" w:rsidR="00F62648" w:rsidRDefault="00B54378" w:rsidP="004275DD">
      <w:pPr>
        <w:numPr>
          <w:ilvl w:val="0"/>
          <w:numId w:val="2"/>
        </w:num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Broad Congressional Intent: </w:t>
      </w:r>
      <w:r w:rsidR="008B4DCC">
        <w:rPr>
          <w:rFonts w:ascii="Times New Roman" w:hAnsi="Times New Roman" w:cs="Times New Roman"/>
          <w:sz w:val="24"/>
          <w:szCs w:val="24"/>
        </w:rPr>
        <w:t>Shortly after the</w:t>
      </w:r>
      <w:r w:rsidR="00F62648" w:rsidRPr="00F62648">
        <w:rPr>
          <w:rFonts w:ascii="Times New Roman" w:hAnsi="Times New Roman" w:cs="Times New Roman"/>
          <w:sz w:val="24"/>
          <w:szCs w:val="24"/>
        </w:rPr>
        <w:t xml:space="preserve"> 1980s farm crisis, Congress granted similar entity </w:t>
      </w:r>
      <w:r w:rsidR="008B4DCC">
        <w:rPr>
          <w:rFonts w:ascii="Times New Roman" w:hAnsi="Times New Roman" w:cs="Times New Roman"/>
          <w:sz w:val="24"/>
          <w:szCs w:val="24"/>
        </w:rPr>
        <w:t xml:space="preserve">lending </w:t>
      </w:r>
      <w:r w:rsidR="00F62648" w:rsidRPr="00F62648">
        <w:rPr>
          <w:rFonts w:ascii="Times New Roman" w:hAnsi="Times New Roman" w:cs="Times New Roman"/>
          <w:sz w:val="24"/>
          <w:szCs w:val="24"/>
        </w:rPr>
        <w:t>authority to the Farm Credit System (</w:t>
      </w:r>
      <w:r w:rsidR="008B4DCC">
        <w:rPr>
          <w:rFonts w:ascii="Times New Roman" w:hAnsi="Times New Roman" w:cs="Times New Roman"/>
          <w:sz w:val="24"/>
          <w:szCs w:val="24"/>
        </w:rPr>
        <w:t>the “System”</w:t>
      </w:r>
      <w:r w:rsidR="00F62648" w:rsidRPr="00F62648">
        <w:rPr>
          <w:rFonts w:ascii="Times New Roman" w:hAnsi="Times New Roman" w:cs="Times New Roman"/>
          <w:sz w:val="24"/>
          <w:szCs w:val="24"/>
        </w:rPr>
        <w:t>) to reduce concentration risk and ensure financial stability. Initially given</w:t>
      </w:r>
      <w:r w:rsidR="00552C17">
        <w:rPr>
          <w:rFonts w:ascii="Times New Roman" w:hAnsi="Times New Roman" w:cs="Times New Roman"/>
          <w:sz w:val="24"/>
          <w:szCs w:val="24"/>
        </w:rPr>
        <w:t xml:space="preserve"> by Congress</w:t>
      </w:r>
      <w:r w:rsidR="00F62648" w:rsidRPr="00F62648">
        <w:rPr>
          <w:rFonts w:ascii="Times New Roman" w:hAnsi="Times New Roman" w:cs="Times New Roman"/>
          <w:sz w:val="24"/>
          <w:szCs w:val="24"/>
        </w:rPr>
        <w:t xml:space="preserve"> to banks for cooperatives in 1992</w:t>
      </w:r>
      <w:r w:rsidR="0045207B">
        <w:rPr>
          <w:rStyle w:val="FootnoteReference"/>
          <w:rFonts w:ascii="Times New Roman" w:hAnsi="Times New Roman" w:cs="Times New Roman"/>
          <w:sz w:val="24"/>
          <w:szCs w:val="24"/>
        </w:rPr>
        <w:footnoteReference w:id="1"/>
      </w:r>
      <w:r w:rsidR="00F62648" w:rsidRPr="00F62648">
        <w:rPr>
          <w:rFonts w:ascii="Times New Roman" w:hAnsi="Times New Roman" w:cs="Times New Roman"/>
          <w:sz w:val="24"/>
          <w:szCs w:val="24"/>
        </w:rPr>
        <w:t xml:space="preserve"> and extended to the </w:t>
      </w:r>
      <w:r w:rsidR="0045207B">
        <w:rPr>
          <w:rFonts w:ascii="Times New Roman" w:hAnsi="Times New Roman" w:cs="Times New Roman"/>
          <w:sz w:val="24"/>
          <w:szCs w:val="24"/>
        </w:rPr>
        <w:t>remainder of the</w:t>
      </w:r>
      <w:r w:rsidR="00F62648" w:rsidRPr="00F62648">
        <w:rPr>
          <w:rFonts w:ascii="Times New Roman" w:hAnsi="Times New Roman" w:cs="Times New Roman"/>
          <w:sz w:val="24"/>
          <w:szCs w:val="24"/>
        </w:rPr>
        <w:t xml:space="preserve"> System in 1994</w:t>
      </w:r>
      <w:r w:rsidR="0045207B">
        <w:rPr>
          <w:rStyle w:val="FootnoteReference"/>
          <w:rFonts w:ascii="Times New Roman" w:hAnsi="Times New Roman" w:cs="Times New Roman"/>
          <w:sz w:val="24"/>
          <w:szCs w:val="24"/>
        </w:rPr>
        <w:footnoteReference w:id="2"/>
      </w:r>
      <w:r w:rsidR="00F62648" w:rsidRPr="00F62648">
        <w:rPr>
          <w:rFonts w:ascii="Times New Roman" w:hAnsi="Times New Roman" w:cs="Times New Roman"/>
          <w:sz w:val="24"/>
          <w:szCs w:val="24"/>
        </w:rPr>
        <w:t xml:space="preserve">, this </w:t>
      </w:r>
      <w:r w:rsidR="00552C17">
        <w:rPr>
          <w:rFonts w:ascii="Times New Roman" w:hAnsi="Times New Roman" w:cs="Times New Roman"/>
          <w:sz w:val="24"/>
          <w:szCs w:val="24"/>
        </w:rPr>
        <w:t xml:space="preserve">similar entity lending </w:t>
      </w:r>
      <w:r w:rsidR="00F62648" w:rsidRPr="00F62648">
        <w:rPr>
          <w:rFonts w:ascii="Times New Roman" w:hAnsi="Times New Roman" w:cs="Times New Roman"/>
          <w:sz w:val="24"/>
          <w:szCs w:val="24"/>
        </w:rPr>
        <w:t>authority aimed to diversify risk by geography, industry, and account exposure</w:t>
      </w:r>
      <w:r w:rsidR="0091620C">
        <w:rPr>
          <w:rFonts w:ascii="Times New Roman" w:hAnsi="Times New Roman" w:cs="Times New Roman"/>
          <w:sz w:val="24"/>
          <w:szCs w:val="24"/>
        </w:rPr>
        <w:t xml:space="preserve"> through collaboration</w:t>
      </w:r>
      <w:r w:rsidR="00F62648" w:rsidRPr="00F62648">
        <w:rPr>
          <w:rFonts w:ascii="Times New Roman" w:hAnsi="Times New Roman" w:cs="Times New Roman"/>
          <w:sz w:val="24"/>
          <w:szCs w:val="24"/>
        </w:rPr>
        <w:t xml:space="preserve"> between System institutions and the commercial banking industry. </w:t>
      </w:r>
      <w:r w:rsidR="00552C17">
        <w:rPr>
          <w:rFonts w:ascii="Times New Roman" w:hAnsi="Times New Roman" w:cs="Times New Roman"/>
          <w:sz w:val="24"/>
          <w:szCs w:val="24"/>
        </w:rPr>
        <w:t xml:space="preserve">Consistent with contemporary Congressional statements, FCA’s initial and </w:t>
      </w:r>
      <w:r w:rsidR="00552C17">
        <w:rPr>
          <w:rFonts w:ascii="Times New Roman" w:hAnsi="Times New Roman" w:cs="Times New Roman"/>
          <w:sz w:val="24"/>
          <w:szCs w:val="24"/>
        </w:rPr>
        <w:lastRenderedPageBreak/>
        <w:t xml:space="preserve">amended similar entity </w:t>
      </w:r>
      <w:r w:rsidR="00F62648" w:rsidRPr="00F62648">
        <w:rPr>
          <w:rFonts w:ascii="Times New Roman" w:hAnsi="Times New Roman" w:cs="Times New Roman"/>
          <w:sz w:val="24"/>
          <w:szCs w:val="24"/>
        </w:rPr>
        <w:t xml:space="preserve">rules </w:t>
      </w:r>
      <w:r w:rsidR="000E366E">
        <w:rPr>
          <w:rFonts w:ascii="Times New Roman" w:hAnsi="Times New Roman" w:cs="Times New Roman"/>
          <w:sz w:val="24"/>
          <w:szCs w:val="24"/>
        </w:rPr>
        <w:t>did not attempt to define</w:t>
      </w:r>
      <w:r w:rsidR="00552C17">
        <w:rPr>
          <w:rFonts w:ascii="Times New Roman" w:hAnsi="Times New Roman" w:cs="Times New Roman"/>
          <w:sz w:val="24"/>
          <w:szCs w:val="24"/>
        </w:rPr>
        <w:t xml:space="preserve"> the types of entities that may qualify as similar entities</w:t>
      </w:r>
      <w:r w:rsidR="000E366E">
        <w:rPr>
          <w:rFonts w:ascii="Times New Roman" w:hAnsi="Times New Roman" w:cs="Times New Roman"/>
          <w:sz w:val="24"/>
          <w:szCs w:val="24"/>
        </w:rPr>
        <w:t>.  Rather, the regulations appropriately support</w:t>
      </w:r>
      <w:r w:rsidR="002A75EF">
        <w:rPr>
          <w:rFonts w:ascii="Times New Roman" w:hAnsi="Times New Roman" w:cs="Times New Roman"/>
          <w:sz w:val="24"/>
          <w:szCs w:val="24"/>
        </w:rPr>
        <w:t xml:space="preserve"> </w:t>
      </w:r>
      <w:r w:rsidR="00F62648" w:rsidRPr="00F62648">
        <w:rPr>
          <w:rFonts w:ascii="Times New Roman" w:hAnsi="Times New Roman" w:cs="Times New Roman"/>
          <w:sz w:val="24"/>
          <w:szCs w:val="24"/>
        </w:rPr>
        <w:t xml:space="preserve">a broad and flexible </w:t>
      </w:r>
      <w:r w:rsidR="000E366E">
        <w:rPr>
          <w:rFonts w:ascii="Times New Roman" w:hAnsi="Times New Roman" w:cs="Times New Roman"/>
          <w:sz w:val="24"/>
          <w:szCs w:val="24"/>
        </w:rPr>
        <w:t>application</w:t>
      </w:r>
      <w:r w:rsidR="000E366E" w:rsidRPr="00F62648">
        <w:rPr>
          <w:rFonts w:ascii="Times New Roman" w:hAnsi="Times New Roman" w:cs="Times New Roman"/>
          <w:sz w:val="24"/>
          <w:szCs w:val="24"/>
        </w:rPr>
        <w:t xml:space="preserve"> </w:t>
      </w:r>
      <w:r w:rsidR="00F62648" w:rsidRPr="00F62648">
        <w:rPr>
          <w:rFonts w:ascii="Times New Roman" w:hAnsi="Times New Roman" w:cs="Times New Roman"/>
          <w:sz w:val="24"/>
          <w:szCs w:val="24"/>
        </w:rPr>
        <w:t>of this authority, which AgFirst</w:t>
      </w:r>
      <w:r w:rsidR="0045207B">
        <w:rPr>
          <w:rFonts w:ascii="Times New Roman" w:hAnsi="Times New Roman" w:cs="Times New Roman"/>
          <w:sz w:val="24"/>
          <w:szCs w:val="24"/>
        </w:rPr>
        <w:t xml:space="preserve"> and the rest of the System</w:t>
      </w:r>
      <w:r w:rsidR="00F62648" w:rsidRPr="00F62648">
        <w:rPr>
          <w:rFonts w:ascii="Times New Roman" w:hAnsi="Times New Roman" w:cs="Times New Roman"/>
          <w:sz w:val="24"/>
          <w:szCs w:val="24"/>
        </w:rPr>
        <w:t xml:space="preserve"> has relied on for </w:t>
      </w:r>
      <w:r w:rsidR="0045207B">
        <w:rPr>
          <w:rFonts w:ascii="Times New Roman" w:hAnsi="Times New Roman" w:cs="Times New Roman"/>
          <w:sz w:val="24"/>
          <w:szCs w:val="24"/>
        </w:rPr>
        <w:t>over</w:t>
      </w:r>
      <w:r w:rsidR="00F62648" w:rsidRPr="00F62648">
        <w:rPr>
          <w:rFonts w:ascii="Times New Roman" w:hAnsi="Times New Roman" w:cs="Times New Roman"/>
          <w:sz w:val="24"/>
          <w:szCs w:val="24"/>
        </w:rPr>
        <w:t xml:space="preserve"> three decades to navigate challenges such as natural disasters, tragedies, and a global pandemic.</w:t>
      </w:r>
    </w:p>
    <w:p w14:paraId="4DF6C71B" w14:textId="77777777" w:rsidR="0022290E" w:rsidRPr="00F62648" w:rsidRDefault="0022290E" w:rsidP="0022290E">
      <w:pPr>
        <w:spacing w:after="0" w:line="276" w:lineRule="auto"/>
        <w:ind w:left="720"/>
        <w:rPr>
          <w:rFonts w:ascii="Times New Roman" w:hAnsi="Times New Roman" w:cs="Times New Roman"/>
          <w:sz w:val="24"/>
          <w:szCs w:val="24"/>
        </w:rPr>
      </w:pPr>
    </w:p>
    <w:p w14:paraId="2014ABE2" w14:textId="1A270558" w:rsidR="004275DD" w:rsidRDefault="004275DD" w:rsidP="004275DD">
      <w:pPr>
        <w:numPr>
          <w:ilvl w:val="0"/>
          <w:numId w:val="2"/>
        </w:numPr>
        <w:spacing w:after="0" w:line="276" w:lineRule="auto"/>
        <w:rPr>
          <w:rFonts w:ascii="Times New Roman" w:hAnsi="Times New Roman" w:cs="Times New Roman"/>
          <w:sz w:val="24"/>
          <w:szCs w:val="24"/>
        </w:rPr>
      </w:pPr>
      <w:r w:rsidRPr="004275DD">
        <w:rPr>
          <w:rFonts w:ascii="Times New Roman" w:hAnsi="Times New Roman" w:cs="Times New Roman"/>
          <w:b/>
          <w:bCs/>
          <w:sz w:val="24"/>
          <w:szCs w:val="24"/>
        </w:rPr>
        <w:t>Risk Diversification</w:t>
      </w:r>
      <w:r w:rsidRPr="004275DD">
        <w:rPr>
          <w:rFonts w:ascii="Times New Roman" w:hAnsi="Times New Roman" w:cs="Times New Roman"/>
          <w:sz w:val="24"/>
          <w:szCs w:val="24"/>
        </w:rPr>
        <w:t xml:space="preserve">: Similar entity lending allows </w:t>
      </w:r>
      <w:r w:rsidR="008D54A7">
        <w:rPr>
          <w:rFonts w:ascii="Times New Roman" w:hAnsi="Times New Roman" w:cs="Times New Roman"/>
          <w:sz w:val="24"/>
          <w:szCs w:val="24"/>
        </w:rPr>
        <w:t>AgFirst</w:t>
      </w:r>
      <w:r w:rsidR="008B4DCC">
        <w:rPr>
          <w:rFonts w:ascii="Times New Roman" w:hAnsi="Times New Roman" w:cs="Times New Roman"/>
          <w:sz w:val="24"/>
          <w:szCs w:val="24"/>
        </w:rPr>
        <w:t xml:space="preserve"> </w:t>
      </w:r>
      <w:r w:rsidRPr="004275DD">
        <w:rPr>
          <w:rFonts w:ascii="Times New Roman" w:hAnsi="Times New Roman" w:cs="Times New Roman"/>
          <w:sz w:val="24"/>
          <w:szCs w:val="24"/>
        </w:rPr>
        <w:t xml:space="preserve">to diversify its loan portfolio by participating in loans with non-system lenders. This diversification reduces the risk associated with lending primarily to the agricultural sector. By spreading financial exposure across a broader range of investments, </w:t>
      </w:r>
      <w:r w:rsidR="008D54A7">
        <w:rPr>
          <w:rFonts w:ascii="Times New Roman" w:hAnsi="Times New Roman" w:cs="Times New Roman"/>
          <w:sz w:val="24"/>
          <w:szCs w:val="24"/>
        </w:rPr>
        <w:t xml:space="preserve">AgFirst </w:t>
      </w:r>
      <w:r w:rsidRPr="004275DD">
        <w:rPr>
          <w:rFonts w:ascii="Times New Roman" w:hAnsi="Times New Roman" w:cs="Times New Roman"/>
          <w:sz w:val="24"/>
          <w:szCs w:val="24"/>
        </w:rPr>
        <w:t>can better manage potential losses and maintain a strong financial position.</w:t>
      </w:r>
    </w:p>
    <w:p w14:paraId="1187B5C8" w14:textId="77777777" w:rsidR="0022290E" w:rsidRPr="004275DD" w:rsidRDefault="0022290E" w:rsidP="0022290E">
      <w:pPr>
        <w:spacing w:after="0" w:line="276" w:lineRule="auto"/>
        <w:ind w:left="720"/>
        <w:rPr>
          <w:rFonts w:ascii="Times New Roman" w:hAnsi="Times New Roman" w:cs="Times New Roman"/>
          <w:sz w:val="24"/>
          <w:szCs w:val="24"/>
        </w:rPr>
      </w:pPr>
    </w:p>
    <w:p w14:paraId="5412BD2A" w14:textId="0FACD437" w:rsidR="004275DD" w:rsidRDefault="004275DD" w:rsidP="004275DD">
      <w:pPr>
        <w:numPr>
          <w:ilvl w:val="0"/>
          <w:numId w:val="2"/>
        </w:numPr>
        <w:spacing w:after="0" w:line="276" w:lineRule="auto"/>
        <w:rPr>
          <w:rFonts w:ascii="Times New Roman" w:hAnsi="Times New Roman" w:cs="Times New Roman"/>
          <w:sz w:val="24"/>
          <w:szCs w:val="24"/>
        </w:rPr>
      </w:pPr>
      <w:r w:rsidRPr="004275DD">
        <w:rPr>
          <w:rFonts w:ascii="Times New Roman" w:hAnsi="Times New Roman" w:cs="Times New Roman"/>
          <w:b/>
          <w:bCs/>
          <w:sz w:val="24"/>
          <w:szCs w:val="24"/>
        </w:rPr>
        <w:t>Enhanced Financial Stability</w:t>
      </w:r>
      <w:r w:rsidRPr="004275DD">
        <w:rPr>
          <w:rFonts w:ascii="Times New Roman" w:hAnsi="Times New Roman" w:cs="Times New Roman"/>
          <w:sz w:val="24"/>
          <w:szCs w:val="24"/>
        </w:rPr>
        <w:t xml:space="preserve">: Engaging in similar entity loans contributes to the financial strength of </w:t>
      </w:r>
      <w:r w:rsidR="008D54A7">
        <w:rPr>
          <w:rFonts w:ascii="Times New Roman" w:hAnsi="Times New Roman" w:cs="Times New Roman"/>
          <w:sz w:val="24"/>
          <w:szCs w:val="24"/>
        </w:rPr>
        <w:t>AgFirst</w:t>
      </w:r>
      <w:r w:rsidRPr="004275DD">
        <w:rPr>
          <w:rFonts w:ascii="Times New Roman" w:hAnsi="Times New Roman" w:cs="Times New Roman"/>
          <w:sz w:val="24"/>
          <w:szCs w:val="24"/>
        </w:rPr>
        <w:t xml:space="preserve">, enabling it to support a wider array of agricultural and rural infrastructure projects. These loans provide additional revenue streams and help stabilize the </w:t>
      </w:r>
      <w:r w:rsidR="00F62648">
        <w:rPr>
          <w:rFonts w:ascii="Times New Roman" w:hAnsi="Times New Roman" w:cs="Times New Roman"/>
          <w:sz w:val="24"/>
          <w:szCs w:val="24"/>
        </w:rPr>
        <w:t>System’s</w:t>
      </w:r>
      <w:r w:rsidRPr="004275DD">
        <w:rPr>
          <w:rFonts w:ascii="Times New Roman" w:hAnsi="Times New Roman" w:cs="Times New Roman"/>
          <w:sz w:val="24"/>
          <w:szCs w:val="24"/>
        </w:rPr>
        <w:t xml:space="preserve"> financial health, ensuring it can continue to fulfill its mission of providing reliable credit to American farmers and ranchers. The financial benefits gained from these loans are reinvested into the </w:t>
      </w:r>
      <w:r w:rsidR="008D54A7">
        <w:rPr>
          <w:rFonts w:ascii="Times New Roman" w:hAnsi="Times New Roman" w:cs="Times New Roman"/>
          <w:sz w:val="24"/>
          <w:szCs w:val="24"/>
        </w:rPr>
        <w:t>AgFirst District</w:t>
      </w:r>
      <w:r w:rsidRPr="004275DD">
        <w:rPr>
          <w:rFonts w:ascii="Times New Roman" w:hAnsi="Times New Roman" w:cs="Times New Roman"/>
          <w:sz w:val="24"/>
          <w:szCs w:val="24"/>
        </w:rPr>
        <w:t>, further supporting its commitment to serving rural communities.</w:t>
      </w:r>
    </w:p>
    <w:p w14:paraId="56970DB3" w14:textId="77777777" w:rsidR="0022290E" w:rsidRPr="004275DD" w:rsidRDefault="0022290E" w:rsidP="0022290E">
      <w:pPr>
        <w:spacing w:after="0" w:line="276" w:lineRule="auto"/>
        <w:ind w:left="720"/>
        <w:rPr>
          <w:rFonts w:ascii="Times New Roman" w:hAnsi="Times New Roman" w:cs="Times New Roman"/>
          <w:sz w:val="24"/>
          <w:szCs w:val="24"/>
        </w:rPr>
      </w:pPr>
    </w:p>
    <w:p w14:paraId="6DEFD9B5" w14:textId="448CA74B" w:rsidR="004275DD" w:rsidRDefault="004275DD" w:rsidP="004275DD">
      <w:pPr>
        <w:numPr>
          <w:ilvl w:val="0"/>
          <w:numId w:val="2"/>
        </w:numPr>
        <w:spacing w:after="0" w:line="276" w:lineRule="auto"/>
        <w:rPr>
          <w:rFonts w:ascii="Times New Roman" w:hAnsi="Times New Roman" w:cs="Times New Roman"/>
          <w:sz w:val="24"/>
          <w:szCs w:val="24"/>
        </w:rPr>
      </w:pPr>
      <w:r w:rsidRPr="004275DD">
        <w:rPr>
          <w:rFonts w:ascii="Times New Roman" w:hAnsi="Times New Roman" w:cs="Times New Roman"/>
          <w:b/>
          <w:bCs/>
          <w:sz w:val="24"/>
          <w:szCs w:val="24"/>
        </w:rPr>
        <w:t>Support for Rural Development</w:t>
      </w:r>
      <w:r w:rsidRPr="004275DD">
        <w:rPr>
          <w:rFonts w:ascii="Times New Roman" w:hAnsi="Times New Roman" w:cs="Times New Roman"/>
          <w:sz w:val="24"/>
          <w:szCs w:val="24"/>
        </w:rPr>
        <w:t xml:space="preserve">: Similar entity lending authority allows </w:t>
      </w:r>
      <w:r w:rsidR="008D54A7">
        <w:rPr>
          <w:rFonts w:ascii="Times New Roman" w:hAnsi="Times New Roman" w:cs="Times New Roman"/>
          <w:sz w:val="24"/>
          <w:szCs w:val="24"/>
        </w:rPr>
        <w:t>AgFirst</w:t>
      </w:r>
      <w:r w:rsidRPr="004275DD">
        <w:rPr>
          <w:rFonts w:ascii="Times New Roman" w:hAnsi="Times New Roman" w:cs="Times New Roman"/>
          <w:sz w:val="24"/>
          <w:szCs w:val="24"/>
        </w:rPr>
        <w:t xml:space="preserve"> to participate in financing projects that benefit rural areas, such as</w:t>
      </w:r>
      <w:r w:rsidR="00606BCB">
        <w:rPr>
          <w:rFonts w:ascii="Times New Roman" w:hAnsi="Times New Roman" w:cs="Times New Roman"/>
          <w:sz w:val="24"/>
          <w:szCs w:val="24"/>
        </w:rPr>
        <w:t xml:space="preserve"> the entire food and fiber supply chain and </w:t>
      </w:r>
      <w:r w:rsidRPr="004275DD">
        <w:rPr>
          <w:rFonts w:ascii="Times New Roman" w:hAnsi="Times New Roman" w:cs="Times New Roman"/>
          <w:sz w:val="24"/>
          <w:szCs w:val="24"/>
        </w:rPr>
        <w:t>infrastructure development. By partnering with non-system lenders</w:t>
      </w:r>
      <w:r w:rsidR="007D70ED">
        <w:rPr>
          <w:rFonts w:ascii="Times New Roman" w:hAnsi="Times New Roman" w:cs="Times New Roman"/>
          <w:sz w:val="24"/>
          <w:szCs w:val="24"/>
        </w:rPr>
        <w:t xml:space="preserve">, </w:t>
      </w:r>
      <w:r w:rsidR="008D54A7">
        <w:rPr>
          <w:rFonts w:ascii="Times New Roman" w:hAnsi="Times New Roman" w:cs="Times New Roman"/>
          <w:sz w:val="24"/>
          <w:szCs w:val="24"/>
        </w:rPr>
        <w:t>AgFirst</w:t>
      </w:r>
      <w:r w:rsidRPr="004275DD">
        <w:rPr>
          <w:rFonts w:ascii="Times New Roman" w:hAnsi="Times New Roman" w:cs="Times New Roman"/>
          <w:sz w:val="24"/>
          <w:szCs w:val="24"/>
        </w:rPr>
        <w:t xml:space="preserve"> can support larger and more diverse projects that might be beyond its capacity alone. This collaboration not only helps manage financial risk but also promotes the growth and development of rural communities, aligning with the </w:t>
      </w:r>
      <w:r w:rsidR="00F62648">
        <w:rPr>
          <w:rFonts w:ascii="Times New Roman" w:hAnsi="Times New Roman" w:cs="Times New Roman"/>
          <w:sz w:val="24"/>
          <w:szCs w:val="24"/>
        </w:rPr>
        <w:t>System</w:t>
      </w:r>
      <w:r w:rsidRPr="004275DD">
        <w:rPr>
          <w:rFonts w:ascii="Times New Roman" w:hAnsi="Times New Roman" w:cs="Times New Roman"/>
          <w:sz w:val="24"/>
          <w:szCs w:val="24"/>
        </w:rPr>
        <w:t>’s mission to enhance the quality of life in rural America.</w:t>
      </w:r>
    </w:p>
    <w:p w14:paraId="545F21F4" w14:textId="77777777" w:rsidR="0022290E" w:rsidRDefault="0022290E" w:rsidP="0022290E">
      <w:pPr>
        <w:spacing w:after="0" w:line="276" w:lineRule="auto"/>
        <w:ind w:left="720"/>
        <w:rPr>
          <w:rFonts w:ascii="Times New Roman" w:hAnsi="Times New Roman" w:cs="Times New Roman"/>
          <w:sz w:val="24"/>
          <w:szCs w:val="24"/>
        </w:rPr>
      </w:pPr>
    </w:p>
    <w:p w14:paraId="3C26DAE0" w14:textId="2204E348" w:rsidR="00F62648" w:rsidRPr="004275DD" w:rsidRDefault="00F62648" w:rsidP="004275DD">
      <w:pPr>
        <w:numPr>
          <w:ilvl w:val="0"/>
          <w:numId w:val="2"/>
        </w:num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Reputational Risk Management: </w:t>
      </w:r>
      <w:r w:rsidRPr="00F62648">
        <w:rPr>
          <w:rFonts w:ascii="Times New Roman" w:hAnsi="Times New Roman" w:cs="Times New Roman"/>
          <w:sz w:val="24"/>
          <w:szCs w:val="24"/>
        </w:rPr>
        <w:t xml:space="preserve">AgFirst concurs with </w:t>
      </w:r>
      <w:r>
        <w:rPr>
          <w:rFonts w:ascii="Times New Roman" w:hAnsi="Times New Roman" w:cs="Times New Roman"/>
          <w:sz w:val="24"/>
          <w:szCs w:val="24"/>
        </w:rPr>
        <w:t xml:space="preserve">FCC’s </w:t>
      </w:r>
      <w:r w:rsidRPr="00F62648">
        <w:rPr>
          <w:rFonts w:ascii="Times New Roman" w:hAnsi="Times New Roman" w:cs="Times New Roman"/>
          <w:sz w:val="24"/>
          <w:szCs w:val="24"/>
        </w:rPr>
        <w:t xml:space="preserve">stance that the FCA should not conflate compliance with regulatory and legal requirements with reputational risk management. AgFirst acknowledges that managing reputational risk is essential for maintaining the trust and confidence of stakeholders in the </w:t>
      </w:r>
      <w:r>
        <w:rPr>
          <w:rFonts w:ascii="Times New Roman" w:hAnsi="Times New Roman" w:cs="Times New Roman"/>
          <w:sz w:val="24"/>
          <w:szCs w:val="24"/>
        </w:rPr>
        <w:t>System</w:t>
      </w:r>
      <w:r w:rsidRPr="00F62648">
        <w:rPr>
          <w:rFonts w:ascii="Times New Roman" w:hAnsi="Times New Roman" w:cs="Times New Roman"/>
          <w:sz w:val="24"/>
          <w:szCs w:val="24"/>
        </w:rPr>
        <w:t xml:space="preserve">. Effective reputational risk management ensures that the </w:t>
      </w:r>
      <w:r>
        <w:rPr>
          <w:rFonts w:ascii="Times New Roman" w:hAnsi="Times New Roman" w:cs="Times New Roman"/>
          <w:sz w:val="24"/>
          <w:szCs w:val="24"/>
        </w:rPr>
        <w:t>System</w:t>
      </w:r>
      <w:r w:rsidRPr="00F62648">
        <w:rPr>
          <w:rFonts w:ascii="Times New Roman" w:hAnsi="Times New Roman" w:cs="Times New Roman"/>
          <w:sz w:val="24"/>
          <w:szCs w:val="24"/>
        </w:rPr>
        <w:t xml:space="preserve"> can continue to fulfill its mission of providing reliable credit to American farmers and ranchers while preserving its integrity and public image. Consequently, AgFirst employs robust policies and procedures to manage reputational risk and believes it would be inappropriate for the FCA to further restrict the System’s participation authority based on perceived reputational risks associated with similar entity activities.</w:t>
      </w:r>
    </w:p>
    <w:p w14:paraId="16E25147" w14:textId="77777777" w:rsidR="004275DD" w:rsidRPr="00C62E88" w:rsidRDefault="004275DD" w:rsidP="004275DD">
      <w:pPr>
        <w:spacing w:after="0" w:line="276" w:lineRule="auto"/>
        <w:rPr>
          <w:rFonts w:ascii="Times New Roman" w:hAnsi="Times New Roman" w:cs="Times New Roman"/>
          <w:sz w:val="24"/>
          <w:szCs w:val="24"/>
        </w:rPr>
      </w:pPr>
    </w:p>
    <w:p w14:paraId="7954827B" w14:textId="77777777" w:rsidR="0022290E" w:rsidRDefault="0022290E" w:rsidP="004275DD">
      <w:pPr>
        <w:ind w:firstLine="720"/>
        <w:rPr>
          <w:rFonts w:ascii="Times New Roman" w:hAnsi="Times New Roman" w:cs="Times New Roman"/>
          <w:sz w:val="24"/>
          <w:szCs w:val="24"/>
        </w:rPr>
      </w:pPr>
    </w:p>
    <w:p w14:paraId="0354DEF2" w14:textId="00A29C58" w:rsidR="004275DD" w:rsidRPr="00C62E88" w:rsidRDefault="004275DD" w:rsidP="004275DD">
      <w:pPr>
        <w:ind w:firstLine="720"/>
        <w:rPr>
          <w:rFonts w:ascii="Times New Roman" w:hAnsi="Times New Roman" w:cs="Times New Roman"/>
          <w:sz w:val="24"/>
          <w:szCs w:val="24"/>
        </w:rPr>
      </w:pPr>
      <w:r w:rsidRPr="00C62E88">
        <w:rPr>
          <w:rFonts w:ascii="Times New Roman" w:hAnsi="Times New Roman" w:cs="Times New Roman"/>
          <w:sz w:val="24"/>
          <w:szCs w:val="24"/>
        </w:rPr>
        <w:lastRenderedPageBreak/>
        <w:t xml:space="preserve">AgFirst appreciates </w:t>
      </w:r>
      <w:r w:rsidRPr="00754E49">
        <w:rPr>
          <w:rFonts w:ascii="Times New Roman" w:hAnsi="Times New Roman" w:cs="Times New Roman"/>
          <w:sz w:val="24"/>
          <w:szCs w:val="24"/>
        </w:rPr>
        <w:t xml:space="preserve">the opportunity to provide context to why </w:t>
      </w:r>
      <w:r>
        <w:rPr>
          <w:rFonts w:ascii="Times New Roman" w:hAnsi="Times New Roman" w:cs="Times New Roman"/>
          <w:sz w:val="24"/>
          <w:szCs w:val="24"/>
        </w:rPr>
        <w:t>it</w:t>
      </w:r>
      <w:r w:rsidRPr="00754E49">
        <w:rPr>
          <w:rFonts w:ascii="Times New Roman" w:hAnsi="Times New Roman" w:cs="Times New Roman"/>
          <w:sz w:val="24"/>
          <w:szCs w:val="24"/>
        </w:rPr>
        <w:t xml:space="preserve"> does not believe it is necessary or even appropriate to propose a regulation that would seek to limit the System’s ability to utilize its statutory authorities in the ways contemplated by the questions. </w:t>
      </w:r>
      <w:r w:rsidRPr="00C62E88">
        <w:rPr>
          <w:rFonts w:ascii="Times New Roman" w:hAnsi="Times New Roman" w:cs="Times New Roman"/>
          <w:sz w:val="24"/>
          <w:szCs w:val="24"/>
        </w:rPr>
        <w:t xml:space="preserve">We trust that our comments, as well as those comment submitted by </w:t>
      </w:r>
      <w:r>
        <w:rPr>
          <w:rFonts w:ascii="Times New Roman" w:hAnsi="Times New Roman" w:cs="Times New Roman"/>
          <w:sz w:val="24"/>
          <w:szCs w:val="24"/>
        </w:rPr>
        <w:t>FCC and other</w:t>
      </w:r>
      <w:r w:rsidRPr="00C62E88">
        <w:rPr>
          <w:rFonts w:ascii="Times New Roman" w:hAnsi="Times New Roman" w:cs="Times New Roman"/>
          <w:sz w:val="24"/>
          <w:szCs w:val="24"/>
        </w:rPr>
        <w:t xml:space="preserve"> System associations and banks, will assist FCA in such efforts. </w:t>
      </w:r>
    </w:p>
    <w:p w14:paraId="4798C750" w14:textId="46F69C6E" w:rsidR="007D70ED" w:rsidRPr="007D70ED" w:rsidRDefault="007D70ED" w:rsidP="007D70ED">
      <w:pPr>
        <w:spacing w:line="276" w:lineRule="auto"/>
        <w:jc w:val="center"/>
        <w:rPr>
          <w:rFonts w:ascii="Times New Roman" w:hAnsi="Times New Roman" w:cs="Times New Roman"/>
          <w:b/>
          <w:bCs/>
          <w:sz w:val="24"/>
          <w:szCs w:val="24"/>
        </w:rPr>
      </w:pPr>
    </w:p>
    <w:p w14:paraId="2AAFD921" w14:textId="62FAB904" w:rsidR="004275DD" w:rsidRPr="00B108BD" w:rsidRDefault="004275DD" w:rsidP="004275DD">
      <w:pPr>
        <w:spacing w:line="276" w:lineRule="auto"/>
        <w:rPr>
          <w:rFonts w:ascii="Times New Roman" w:hAnsi="Times New Roman" w:cs="Times New Roman"/>
          <w:sz w:val="24"/>
          <w:szCs w:val="24"/>
        </w:rPr>
      </w:pPr>
      <w:r w:rsidRPr="00B108BD">
        <w:rPr>
          <w:rFonts w:ascii="Times New Roman" w:hAnsi="Times New Roman" w:cs="Times New Roman"/>
          <w:sz w:val="24"/>
          <w:szCs w:val="24"/>
        </w:rPr>
        <w:t>Respectfully submitted,</w:t>
      </w:r>
    </w:p>
    <w:p w14:paraId="6FCAA838" w14:textId="50A3BFE6" w:rsidR="004275DD" w:rsidRPr="00B108BD" w:rsidRDefault="0022290E" w:rsidP="004275DD">
      <w:pPr>
        <w:spacing w:line="276" w:lineRule="auto"/>
        <w:rPr>
          <w:rFonts w:ascii="Times New Roman" w:hAnsi="Times New Roman" w:cs="Times New Roman"/>
          <w:b/>
          <w:noProof/>
          <w:sz w:val="24"/>
          <w:szCs w:val="24"/>
        </w:rPr>
      </w:pPr>
      <w:r>
        <w:rPr>
          <w:noProof/>
          <w:sz w:val="24"/>
          <w:szCs w:val="24"/>
        </w:rPr>
        <w:drawing>
          <wp:inline distT="0" distB="0" distL="0" distR="0" wp14:anchorId="23C8323B" wp14:editId="77FF5934">
            <wp:extent cx="2143125" cy="476250"/>
            <wp:effectExtent l="0" t="0" r="9525" b="0"/>
            <wp:docPr id="881479268"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479268" name="Picture 1" descr="A black signatur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76250"/>
                    </a:xfrm>
                    <a:prstGeom prst="rect">
                      <a:avLst/>
                    </a:prstGeom>
                    <a:noFill/>
                    <a:ln>
                      <a:noFill/>
                    </a:ln>
                  </pic:spPr>
                </pic:pic>
              </a:graphicData>
            </a:graphic>
          </wp:inline>
        </w:drawing>
      </w:r>
      <w:r w:rsidR="004275DD" w:rsidRPr="00B108BD">
        <w:rPr>
          <w:rFonts w:ascii="Times New Roman" w:hAnsi="Times New Roman" w:cs="Times New Roman"/>
          <w:sz w:val="24"/>
          <w:szCs w:val="24"/>
        </w:rPr>
        <w:tab/>
      </w:r>
      <w:r w:rsidR="004275DD" w:rsidRPr="00B108BD">
        <w:rPr>
          <w:rFonts w:ascii="Times New Roman" w:hAnsi="Times New Roman" w:cs="Times New Roman"/>
          <w:sz w:val="24"/>
          <w:szCs w:val="24"/>
        </w:rPr>
        <w:tab/>
      </w:r>
    </w:p>
    <w:p w14:paraId="4CA450F9" w14:textId="04400229" w:rsidR="004275DD" w:rsidRPr="00B108BD" w:rsidRDefault="004275DD" w:rsidP="004275DD">
      <w:pPr>
        <w:spacing w:after="0" w:line="276" w:lineRule="auto"/>
        <w:rPr>
          <w:rFonts w:ascii="Times New Roman" w:hAnsi="Times New Roman" w:cs="Times New Roman"/>
          <w:sz w:val="24"/>
          <w:szCs w:val="24"/>
        </w:rPr>
      </w:pPr>
      <w:r w:rsidRPr="00B108BD">
        <w:rPr>
          <w:rFonts w:ascii="Times New Roman" w:hAnsi="Times New Roman" w:cs="Times New Roman"/>
          <w:sz w:val="24"/>
          <w:szCs w:val="24"/>
        </w:rPr>
        <w:t>Leon T. Amerson</w:t>
      </w:r>
    </w:p>
    <w:p w14:paraId="56C33832" w14:textId="269F9AD7" w:rsidR="004275DD" w:rsidRPr="00B108BD" w:rsidRDefault="004275DD" w:rsidP="004275DD">
      <w:pPr>
        <w:spacing w:after="0" w:line="276" w:lineRule="auto"/>
        <w:rPr>
          <w:rFonts w:ascii="Times New Roman" w:hAnsi="Times New Roman" w:cs="Times New Roman"/>
          <w:sz w:val="24"/>
          <w:szCs w:val="24"/>
        </w:rPr>
      </w:pPr>
      <w:r w:rsidRPr="00B108BD">
        <w:rPr>
          <w:rFonts w:ascii="Times New Roman" w:hAnsi="Times New Roman" w:cs="Times New Roman"/>
          <w:sz w:val="24"/>
          <w:szCs w:val="24"/>
        </w:rPr>
        <w:t>Chief Executive Officer &amp; President</w:t>
      </w:r>
    </w:p>
    <w:bookmarkEnd w:id="0"/>
    <w:bookmarkEnd w:id="1"/>
    <w:p w14:paraId="0AF6F177" w14:textId="77777777" w:rsidR="0022290E" w:rsidRPr="00B108BD" w:rsidRDefault="0022290E" w:rsidP="0022290E">
      <w:pPr>
        <w:spacing w:line="276" w:lineRule="auto"/>
        <w:rPr>
          <w:rFonts w:ascii="Times New Roman" w:hAnsi="Times New Roman" w:cs="Times New Roman"/>
          <w:b/>
          <w:sz w:val="24"/>
          <w:szCs w:val="24"/>
        </w:rPr>
      </w:pPr>
      <w:r w:rsidRPr="00B108BD">
        <w:rPr>
          <w:rFonts w:ascii="Times New Roman" w:hAnsi="Times New Roman" w:cs="Times New Roman"/>
          <w:b/>
          <w:sz w:val="24"/>
          <w:szCs w:val="24"/>
        </w:rPr>
        <w:t>AgFirst Farm Credit Bank</w:t>
      </w:r>
    </w:p>
    <w:p w14:paraId="1A4FCAE8" w14:textId="77777777" w:rsidR="004275DD" w:rsidRPr="00B108BD" w:rsidRDefault="004275DD" w:rsidP="004275DD">
      <w:pPr>
        <w:spacing w:line="276" w:lineRule="auto"/>
        <w:rPr>
          <w:rFonts w:ascii="Times New Roman" w:hAnsi="Times New Roman" w:cs="Times New Roman"/>
          <w:sz w:val="24"/>
          <w:szCs w:val="24"/>
        </w:rPr>
      </w:pPr>
    </w:p>
    <w:p w14:paraId="7CC42451" w14:textId="77777777" w:rsidR="00677273" w:rsidRDefault="00677273"/>
    <w:sectPr w:rsidR="00677273" w:rsidSect="004275DD">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EF67F" w14:textId="77777777" w:rsidR="00091EAD" w:rsidRDefault="00091EAD" w:rsidP="004275DD">
      <w:pPr>
        <w:spacing w:after="0" w:line="240" w:lineRule="auto"/>
      </w:pPr>
      <w:r>
        <w:separator/>
      </w:r>
    </w:p>
  </w:endnote>
  <w:endnote w:type="continuationSeparator" w:id="0">
    <w:p w14:paraId="52AE9734" w14:textId="77777777" w:rsidR="00091EAD" w:rsidRDefault="00091EAD" w:rsidP="0042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Segoe UI"/>
    <w:charset w:val="00"/>
    <w:family w:val="auto"/>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167167"/>
      <w:docPartObj>
        <w:docPartGallery w:val="Page Numbers (Bottom of Page)"/>
        <w:docPartUnique/>
      </w:docPartObj>
    </w:sdtPr>
    <w:sdtEndPr>
      <w:rPr>
        <w:noProof/>
      </w:rPr>
    </w:sdtEndPr>
    <w:sdtContent>
      <w:p w14:paraId="3D504A78" w14:textId="57649BEA" w:rsidR="007D70ED" w:rsidRDefault="007D70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EAEDA4" w14:textId="77777777" w:rsidR="00312B2F" w:rsidRDefault="00312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753E3" w14:textId="77777777" w:rsidR="00312B2F" w:rsidRPr="006D0D82" w:rsidRDefault="001F42B5" w:rsidP="00DC7261">
    <w:pPr>
      <w:pStyle w:val="Footer"/>
      <w:rPr>
        <w:rFonts w:ascii="Myriad Pro" w:hAnsi="Myriad Pro"/>
        <w:i/>
        <w:color w:val="3A8800"/>
      </w:rPr>
    </w:pPr>
    <w:r w:rsidRPr="006D0D82">
      <w:rPr>
        <w:rFonts w:ascii="Myriad Pro" w:hAnsi="Myriad Pro"/>
        <w:i/>
        <w:color w:val="3A8800"/>
      </w:rPr>
      <w:t>Lending support to rural America™</w:t>
    </w:r>
  </w:p>
  <w:p w14:paraId="3A4A3303" w14:textId="77777777" w:rsidR="00312B2F" w:rsidRDefault="00312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3C8C1" w14:textId="77777777" w:rsidR="00091EAD" w:rsidRDefault="00091EAD" w:rsidP="004275DD">
      <w:pPr>
        <w:spacing w:after="0" w:line="240" w:lineRule="auto"/>
      </w:pPr>
      <w:r>
        <w:separator/>
      </w:r>
    </w:p>
  </w:footnote>
  <w:footnote w:type="continuationSeparator" w:id="0">
    <w:p w14:paraId="4B82D32B" w14:textId="77777777" w:rsidR="00091EAD" w:rsidRDefault="00091EAD" w:rsidP="004275DD">
      <w:pPr>
        <w:spacing w:after="0" w:line="240" w:lineRule="auto"/>
      </w:pPr>
      <w:r>
        <w:continuationSeparator/>
      </w:r>
    </w:p>
  </w:footnote>
  <w:footnote w:id="1">
    <w:p w14:paraId="082A21BA" w14:textId="71698224" w:rsidR="0045207B" w:rsidRDefault="0045207B">
      <w:pPr>
        <w:pStyle w:val="FootnoteText"/>
      </w:pPr>
      <w:r>
        <w:rPr>
          <w:rStyle w:val="FootnoteReference"/>
        </w:rPr>
        <w:footnoteRef/>
      </w:r>
      <w:r>
        <w:t xml:space="preserve"> The Farm Credit Bank and Associations Safety and Soundness Act (the “1992 Act”).</w:t>
      </w:r>
    </w:p>
  </w:footnote>
  <w:footnote w:id="2">
    <w:p w14:paraId="4D5122B0" w14:textId="442C4622" w:rsidR="0045207B" w:rsidRDefault="0045207B">
      <w:pPr>
        <w:pStyle w:val="FootnoteText"/>
      </w:pPr>
      <w:r>
        <w:rPr>
          <w:rStyle w:val="FootnoteReference"/>
        </w:rPr>
        <w:footnoteRef/>
      </w:r>
      <w:r>
        <w:t xml:space="preserve"> The Farm Credit System Agricultural Export and Risk Management Act (the “1994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99A21" w14:textId="77777777" w:rsidR="00312B2F" w:rsidRPr="002D2478" w:rsidRDefault="001F42B5" w:rsidP="00DC7261">
    <w:pPr>
      <w:pStyle w:val="NormalWeb"/>
      <w:tabs>
        <w:tab w:val="left" w:pos="4590"/>
      </w:tabs>
      <w:spacing w:before="0" w:after="0"/>
      <w:ind w:left="-720"/>
      <w:rPr>
        <w:sz w:val="20"/>
      </w:rPr>
    </w:pPr>
    <w:r>
      <w:rPr>
        <w:noProof/>
        <w:sz w:val="20"/>
      </w:rPr>
      <w:drawing>
        <wp:inline distT="0" distB="0" distL="0" distR="0" wp14:anchorId="7EDA7E4A" wp14:editId="1F2BCBB4">
          <wp:extent cx="1759585" cy="555625"/>
          <wp:effectExtent l="0" t="0" r="0" b="3175"/>
          <wp:docPr id="1" name="Picture 1" descr="Small-AgFirstFCB-GrnBlk-WhiteB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AgFirstFCB-GrnBlk-WhiteBgrou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9585" cy="555625"/>
                  </a:xfrm>
                  <a:prstGeom prst="rect">
                    <a:avLst/>
                  </a:prstGeom>
                  <a:noFill/>
                  <a:ln>
                    <a:noFill/>
                  </a:ln>
                </pic:spPr>
              </pic:pic>
            </a:graphicData>
          </a:graphic>
        </wp:inline>
      </w:drawing>
    </w:r>
  </w:p>
  <w:p w14:paraId="232AD4C2" w14:textId="31DD062C" w:rsidR="00312B2F" w:rsidRPr="002D2478" w:rsidRDefault="001F42B5" w:rsidP="00DC7261">
    <w:pPr>
      <w:pStyle w:val="NormalWeb"/>
      <w:tabs>
        <w:tab w:val="left" w:pos="4590"/>
      </w:tabs>
      <w:spacing w:before="0" w:after="0"/>
      <w:ind w:left="-720"/>
    </w:pPr>
    <w:r>
      <w:rPr>
        <w:noProof/>
      </w:rPr>
      <mc:AlternateContent>
        <mc:Choice Requires="wps">
          <w:drawing>
            <wp:anchor distT="0" distB="0" distL="114300" distR="114300" simplePos="0" relativeHeight="251658240" behindDoc="0" locked="0" layoutInCell="1" allowOverlap="1" wp14:anchorId="5813EC6A" wp14:editId="4AB23661">
              <wp:simplePos x="0" y="0"/>
              <wp:positionH relativeFrom="column">
                <wp:posOffset>116840</wp:posOffset>
              </wp:positionH>
              <wp:positionV relativeFrom="paragraph">
                <wp:posOffset>120650</wp:posOffset>
              </wp:positionV>
              <wp:extent cx="6298565" cy="635"/>
              <wp:effectExtent l="0" t="0" r="6985" b="18415"/>
              <wp:wrapNone/>
              <wp:docPr id="135464632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8565" cy="635"/>
                      </a:xfrm>
                      <a:prstGeom prst="straightConnector1">
                        <a:avLst/>
                      </a:prstGeom>
                      <a:noFill/>
                      <a:ln w="6350">
                        <a:solidFill>
                          <a:srgbClr val="5E9732"/>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84FD2FC" id="_x0000_t32" coordsize="21600,21600" o:spt="32" o:oned="t" path="m,l21600,21600e" filled="f">
              <v:path arrowok="t" fillok="f" o:connecttype="none"/>
              <o:lock v:ext="edit" shapetype="t"/>
            </v:shapetype>
            <v:shape id="Straight Arrow Connector 1" o:spid="_x0000_s1026" type="#_x0000_t32" style="position:absolute;margin-left:9.2pt;margin-top:9.5pt;width:495.9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" strokecolor="#5e9732" strokeweight=".5pt"/>
          </w:pict>
        </mc:Fallback>
      </mc:AlternateContent>
    </w:r>
  </w:p>
  <w:p w14:paraId="3D30D830" w14:textId="77777777" w:rsidR="00312B2F" w:rsidRPr="002D2478" w:rsidRDefault="001F42B5" w:rsidP="00DC7261">
    <w:pPr>
      <w:pStyle w:val="NormalWeb"/>
      <w:tabs>
        <w:tab w:val="left" w:pos="180"/>
      </w:tabs>
      <w:spacing w:before="0" w:after="0"/>
      <w:ind w:right="-720"/>
      <w:rPr>
        <w:rFonts w:ascii="Myriad Pro" w:hAnsi="Myriad Pro"/>
        <w:spacing w:val="26"/>
        <w:sz w:val="18"/>
        <w:szCs w:val="18"/>
      </w:rPr>
    </w:pPr>
    <w:r w:rsidRPr="002D2478">
      <w:tab/>
    </w:r>
    <w:r>
      <w:rPr>
        <w:rFonts w:ascii="Myriad Pro" w:hAnsi="Myriad Pro"/>
        <w:spacing w:val="26"/>
        <w:sz w:val="18"/>
        <w:szCs w:val="18"/>
      </w:rPr>
      <w:t>1901 Main</w:t>
    </w:r>
    <w:r w:rsidRPr="002D2478">
      <w:rPr>
        <w:rFonts w:ascii="Myriad Pro" w:hAnsi="Myriad Pro"/>
        <w:spacing w:val="26"/>
        <w:sz w:val="18"/>
        <w:szCs w:val="18"/>
      </w:rPr>
      <w:t xml:space="preserve"> Street | PO Box 1499 | Columbia, SC 29202-1499 | 803.799.5000 | agfirst.com</w:t>
    </w:r>
  </w:p>
  <w:p w14:paraId="15E28EBE" w14:textId="77777777" w:rsidR="00312B2F" w:rsidRDefault="00312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5EF9"/>
    <w:multiLevelType w:val="hybridMultilevel"/>
    <w:tmpl w:val="6C883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8D1497"/>
    <w:multiLevelType w:val="multilevel"/>
    <w:tmpl w:val="378C5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970186">
    <w:abstractNumId w:val="0"/>
  </w:num>
  <w:num w:numId="2" w16cid:durableId="203368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DD"/>
    <w:rsid w:val="00091EAD"/>
    <w:rsid w:val="000E366E"/>
    <w:rsid w:val="001E4E08"/>
    <w:rsid w:val="001F42B5"/>
    <w:rsid w:val="0022290E"/>
    <w:rsid w:val="00295B01"/>
    <w:rsid w:val="002A75EF"/>
    <w:rsid w:val="002E6239"/>
    <w:rsid w:val="00312B2F"/>
    <w:rsid w:val="003435DC"/>
    <w:rsid w:val="003B58AA"/>
    <w:rsid w:val="004134D1"/>
    <w:rsid w:val="004275DD"/>
    <w:rsid w:val="0045207B"/>
    <w:rsid w:val="004A4B18"/>
    <w:rsid w:val="00552C17"/>
    <w:rsid w:val="00580232"/>
    <w:rsid w:val="00606BCB"/>
    <w:rsid w:val="00677273"/>
    <w:rsid w:val="00705B93"/>
    <w:rsid w:val="007D70ED"/>
    <w:rsid w:val="008B4DCC"/>
    <w:rsid w:val="008D54A7"/>
    <w:rsid w:val="0091620C"/>
    <w:rsid w:val="00952DBC"/>
    <w:rsid w:val="00981F4E"/>
    <w:rsid w:val="009F2B32"/>
    <w:rsid w:val="00A12565"/>
    <w:rsid w:val="00A47BA8"/>
    <w:rsid w:val="00AB7E69"/>
    <w:rsid w:val="00B54378"/>
    <w:rsid w:val="00B62987"/>
    <w:rsid w:val="00BF0E80"/>
    <w:rsid w:val="00C67680"/>
    <w:rsid w:val="00CF5599"/>
    <w:rsid w:val="00D639B9"/>
    <w:rsid w:val="00D80175"/>
    <w:rsid w:val="00D94F38"/>
    <w:rsid w:val="00EB195F"/>
    <w:rsid w:val="00F62648"/>
    <w:rsid w:val="00F859F6"/>
    <w:rsid w:val="00FB233D"/>
    <w:rsid w:val="00FC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9728E"/>
  <w15:chartTrackingRefBased/>
  <w15:docId w15:val="{5D353654-DA1E-4C96-8AB9-B6D7F114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DD"/>
    <w:rPr>
      <w:kern w:val="0"/>
    </w:rPr>
  </w:style>
  <w:style w:type="paragraph" w:styleId="Heading1">
    <w:name w:val="heading 1"/>
    <w:basedOn w:val="Normal"/>
    <w:next w:val="Normal"/>
    <w:link w:val="Heading1Char"/>
    <w:uiPriority w:val="9"/>
    <w:qFormat/>
    <w:rsid w:val="00427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5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5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5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5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5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5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5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5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5DD"/>
    <w:rPr>
      <w:rFonts w:eastAsiaTheme="majorEastAsia" w:cstheme="majorBidi"/>
      <w:color w:val="272727" w:themeColor="text1" w:themeTint="D8"/>
    </w:rPr>
  </w:style>
  <w:style w:type="paragraph" w:styleId="Title">
    <w:name w:val="Title"/>
    <w:basedOn w:val="Normal"/>
    <w:next w:val="Normal"/>
    <w:link w:val="TitleChar"/>
    <w:uiPriority w:val="10"/>
    <w:qFormat/>
    <w:rsid w:val="00427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5DD"/>
    <w:pPr>
      <w:spacing w:before="160"/>
      <w:jc w:val="center"/>
    </w:pPr>
    <w:rPr>
      <w:i/>
      <w:iCs/>
      <w:color w:val="404040" w:themeColor="text1" w:themeTint="BF"/>
    </w:rPr>
  </w:style>
  <w:style w:type="character" w:customStyle="1" w:styleId="QuoteChar">
    <w:name w:val="Quote Char"/>
    <w:basedOn w:val="DefaultParagraphFont"/>
    <w:link w:val="Quote"/>
    <w:uiPriority w:val="29"/>
    <w:rsid w:val="004275DD"/>
    <w:rPr>
      <w:i/>
      <w:iCs/>
      <w:color w:val="404040" w:themeColor="text1" w:themeTint="BF"/>
    </w:rPr>
  </w:style>
  <w:style w:type="paragraph" w:styleId="ListParagraph">
    <w:name w:val="List Paragraph"/>
    <w:basedOn w:val="Normal"/>
    <w:uiPriority w:val="34"/>
    <w:qFormat/>
    <w:rsid w:val="004275DD"/>
    <w:pPr>
      <w:ind w:left="720"/>
      <w:contextualSpacing/>
    </w:pPr>
  </w:style>
  <w:style w:type="character" w:styleId="IntenseEmphasis">
    <w:name w:val="Intense Emphasis"/>
    <w:basedOn w:val="DefaultParagraphFont"/>
    <w:uiPriority w:val="21"/>
    <w:qFormat/>
    <w:rsid w:val="004275DD"/>
    <w:rPr>
      <w:i/>
      <w:iCs/>
      <w:color w:val="0F4761" w:themeColor="accent1" w:themeShade="BF"/>
    </w:rPr>
  </w:style>
  <w:style w:type="paragraph" w:styleId="IntenseQuote">
    <w:name w:val="Intense Quote"/>
    <w:basedOn w:val="Normal"/>
    <w:next w:val="Normal"/>
    <w:link w:val="IntenseQuoteChar"/>
    <w:uiPriority w:val="30"/>
    <w:qFormat/>
    <w:rsid w:val="00427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5DD"/>
    <w:rPr>
      <w:i/>
      <w:iCs/>
      <w:color w:val="0F4761" w:themeColor="accent1" w:themeShade="BF"/>
    </w:rPr>
  </w:style>
  <w:style w:type="character" w:styleId="IntenseReference">
    <w:name w:val="Intense Reference"/>
    <w:basedOn w:val="DefaultParagraphFont"/>
    <w:uiPriority w:val="32"/>
    <w:qFormat/>
    <w:rsid w:val="004275DD"/>
    <w:rPr>
      <w:b/>
      <w:bCs/>
      <w:smallCaps/>
      <w:color w:val="0F4761" w:themeColor="accent1" w:themeShade="BF"/>
      <w:spacing w:val="5"/>
    </w:rPr>
  </w:style>
  <w:style w:type="paragraph" w:styleId="FootnoteText">
    <w:name w:val="footnote text"/>
    <w:basedOn w:val="Normal"/>
    <w:link w:val="FootnoteTextChar"/>
    <w:uiPriority w:val="99"/>
    <w:unhideWhenUsed/>
    <w:qFormat/>
    <w:rsid w:val="004275DD"/>
    <w:pPr>
      <w:spacing w:after="0" w:line="240" w:lineRule="auto"/>
    </w:pPr>
    <w:rPr>
      <w:sz w:val="20"/>
      <w:szCs w:val="20"/>
    </w:rPr>
  </w:style>
  <w:style w:type="character" w:customStyle="1" w:styleId="FootnoteTextChar">
    <w:name w:val="Footnote Text Char"/>
    <w:basedOn w:val="DefaultParagraphFont"/>
    <w:link w:val="FootnoteText"/>
    <w:uiPriority w:val="99"/>
    <w:rsid w:val="004275DD"/>
    <w:rPr>
      <w:kern w:val="0"/>
      <w:sz w:val="20"/>
      <w:szCs w:val="20"/>
    </w:rPr>
  </w:style>
  <w:style w:type="character" w:styleId="FootnoteReference">
    <w:name w:val="footnote reference"/>
    <w:basedOn w:val="DefaultParagraphFont"/>
    <w:uiPriority w:val="99"/>
    <w:unhideWhenUsed/>
    <w:rsid w:val="004275DD"/>
    <w:rPr>
      <w:vertAlign w:val="superscript"/>
    </w:rPr>
  </w:style>
  <w:style w:type="paragraph" w:styleId="Header">
    <w:name w:val="header"/>
    <w:basedOn w:val="Normal"/>
    <w:link w:val="HeaderChar"/>
    <w:uiPriority w:val="99"/>
    <w:unhideWhenUsed/>
    <w:rsid w:val="00427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5DD"/>
    <w:rPr>
      <w:kern w:val="0"/>
    </w:rPr>
  </w:style>
  <w:style w:type="paragraph" w:styleId="Footer">
    <w:name w:val="footer"/>
    <w:basedOn w:val="Normal"/>
    <w:link w:val="FooterChar"/>
    <w:uiPriority w:val="99"/>
    <w:unhideWhenUsed/>
    <w:rsid w:val="00427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5DD"/>
    <w:rPr>
      <w:kern w:val="0"/>
    </w:rPr>
  </w:style>
  <w:style w:type="paragraph" w:styleId="NormalWeb">
    <w:name w:val="Normal (Web)"/>
    <w:basedOn w:val="Normal"/>
    <w:rsid w:val="004275DD"/>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rPr>
  </w:style>
  <w:style w:type="paragraph" w:styleId="Revision">
    <w:name w:val="Revision"/>
    <w:hidden/>
    <w:uiPriority w:val="99"/>
    <w:semiHidden/>
    <w:rsid w:val="00580232"/>
    <w:pPr>
      <w:spacing w:after="0" w:line="240" w:lineRule="auto"/>
    </w:pPr>
    <w:rPr>
      <w:kern w:val="0"/>
    </w:rPr>
  </w:style>
  <w:style w:type="character" w:styleId="CommentReference">
    <w:name w:val="annotation reference"/>
    <w:basedOn w:val="DefaultParagraphFont"/>
    <w:uiPriority w:val="99"/>
    <w:semiHidden/>
    <w:unhideWhenUsed/>
    <w:rsid w:val="001F42B5"/>
    <w:rPr>
      <w:sz w:val="16"/>
      <w:szCs w:val="16"/>
    </w:rPr>
  </w:style>
  <w:style w:type="paragraph" w:styleId="CommentText">
    <w:name w:val="annotation text"/>
    <w:basedOn w:val="Normal"/>
    <w:link w:val="CommentTextChar"/>
    <w:uiPriority w:val="99"/>
    <w:unhideWhenUsed/>
    <w:rsid w:val="001F42B5"/>
    <w:pPr>
      <w:spacing w:line="240" w:lineRule="auto"/>
    </w:pPr>
    <w:rPr>
      <w:sz w:val="20"/>
      <w:szCs w:val="20"/>
    </w:rPr>
  </w:style>
  <w:style w:type="character" w:customStyle="1" w:styleId="CommentTextChar">
    <w:name w:val="Comment Text Char"/>
    <w:basedOn w:val="DefaultParagraphFont"/>
    <w:link w:val="CommentText"/>
    <w:uiPriority w:val="99"/>
    <w:rsid w:val="001F42B5"/>
    <w:rPr>
      <w:kern w:val="0"/>
      <w:sz w:val="20"/>
      <w:szCs w:val="20"/>
    </w:rPr>
  </w:style>
  <w:style w:type="paragraph" w:styleId="CommentSubject">
    <w:name w:val="annotation subject"/>
    <w:basedOn w:val="CommentText"/>
    <w:next w:val="CommentText"/>
    <w:link w:val="CommentSubjectChar"/>
    <w:uiPriority w:val="99"/>
    <w:semiHidden/>
    <w:unhideWhenUsed/>
    <w:rsid w:val="001F42B5"/>
    <w:rPr>
      <w:b/>
      <w:bCs/>
    </w:rPr>
  </w:style>
  <w:style w:type="character" w:customStyle="1" w:styleId="CommentSubjectChar">
    <w:name w:val="Comment Subject Char"/>
    <w:basedOn w:val="CommentTextChar"/>
    <w:link w:val="CommentSubject"/>
    <w:uiPriority w:val="99"/>
    <w:semiHidden/>
    <w:rsid w:val="001F42B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24309">
      <w:bodyDiv w:val="1"/>
      <w:marLeft w:val="0"/>
      <w:marRight w:val="0"/>
      <w:marTop w:val="0"/>
      <w:marBottom w:val="0"/>
      <w:divBdr>
        <w:top w:val="none" w:sz="0" w:space="0" w:color="auto"/>
        <w:left w:val="none" w:sz="0" w:space="0" w:color="auto"/>
        <w:bottom w:val="none" w:sz="0" w:space="0" w:color="auto"/>
        <w:right w:val="none" w:sz="0" w:space="0" w:color="auto"/>
      </w:divBdr>
    </w:div>
    <w:div w:id="462113936">
      <w:bodyDiv w:val="1"/>
      <w:marLeft w:val="0"/>
      <w:marRight w:val="0"/>
      <w:marTop w:val="0"/>
      <w:marBottom w:val="0"/>
      <w:divBdr>
        <w:top w:val="none" w:sz="0" w:space="0" w:color="auto"/>
        <w:left w:val="none" w:sz="0" w:space="0" w:color="auto"/>
        <w:bottom w:val="none" w:sz="0" w:space="0" w:color="auto"/>
        <w:right w:val="none" w:sz="0" w:space="0" w:color="auto"/>
      </w:divBdr>
    </w:div>
    <w:div w:id="1068769932">
      <w:bodyDiv w:val="1"/>
      <w:marLeft w:val="0"/>
      <w:marRight w:val="0"/>
      <w:marTop w:val="0"/>
      <w:marBottom w:val="0"/>
      <w:divBdr>
        <w:top w:val="none" w:sz="0" w:space="0" w:color="auto"/>
        <w:left w:val="none" w:sz="0" w:space="0" w:color="auto"/>
        <w:bottom w:val="none" w:sz="0" w:space="0" w:color="auto"/>
        <w:right w:val="none" w:sz="0" w:space="0" w:color="auto"/>
      </w:divBdr>
    </w:div>
    <w:div w:id="16636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C07C8-F128-4927-AB8A-B93DAEE68637}">
  <ds:schemaRefs>
    <ds:schemaRef ds:uri="http://schemas.openxmlformats.org/officeDocument/2006/bibliography"/>
  </ds:schemaRefs>
</ds:datastoreItem>
</file>

<file path=customXml/itemProps2.xml><?xml version="1.0" encoding="utf-8"?>
<ds:datastoreItem xmlns:ds="http://schemas.openxmlformats.org/officeDocument/2006/customXml" ds:itemID="{C1FEC26D-7347-4655-84CA-C11053A1EA1A}"/>
</file>

<file path=customXml/itemProps3.xml><?xml version="1.0" encoding="utf-8"?>
<ds:datastoreItem xmlns:ds="http://schemas.openxmlformats.org/officeDocument/2006/customXml" ds:itemID="{B0BBCAB7-D457-41A3-B896-565B68B8A89A}"/>
</file>

<file path=customXml/itemProps4.xml><?xml version="1.0" encoding="utf-8"?>
<ds:datastoreItem xmlns:ds="http://schemas.openxmlformats.org/officeDocument/2006/customXml" ds:itemID="{A2CF5599-FD10-4C2C-A9FC-736C8D05DCB8}"/>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AgFirst Farm Credit Bank</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Schanz, Adam</dc:creator>
  <cp:keywords/>
  <dc:description/>
  <cp:lastModifiedBy>Schanz, Adam</cp:lastModifiedBy>
  <cp:revision>3</cp:revision>
  <dcterms:created xsi:type="dcterms:W3CDTF">2024-12-03T14:31:00Z</dcterms:created>
  <dcterms:modified xsi:type="dcterms:W3CDTF">2024-12-04T16:07:00Z</dcterms:modified>
</cp:coreProperties>
</file>