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0CCF" w14:textId="77E35EE5" w:rsidR="002E4646" w:rsidRDefault="002E4646" w:rsidP="00DC204F">
      <w:pPr>
        <w:rPr>
          <w:bCs/>
          <w:sz w:val="23"/>
          <w:szCs w:val="23"/>
        </w:rPr>
      </w:pPr>
    </w:p>
    <w:p w14:paraId="34772BBD" w14:textId="1C606683" w:rsidR="009D2033" w:rsidRDefault="009D2033" w:rsidP="00DC204F">
      <w:pPr>
        <w:rPr>
          <w:bCs/>
          <w:sz w:val="23"/>
          <w:szCs w:val="23"/>
        </w:rPr>
      </w:pPr>
    </w:p>
    <w:p w14:paraId="67BB25B5" w14:textId="6BF2867B" w:rsidR="009D2033" w:rsidRDefault="009D2033" w:rsidP="00DC204F">
      <w:pPr>
        <w:rPr>
          <w:bCs/>
          <w:sz w:val="23"/>
          <w:szCs w:val="23"/>
        </w:rPr>
      </w:pPr>
    </w:p>
    <w:p w14:paraId="06C2A0E9" w14:textId="1FD5DFAE" w:rsidR="00DC204F" w:rsidRPr="00336622" w:rsidRDefault="00C10A2C" w:rsidP="00DC204F">
      <w:pPr>
        <w:rPr>
          <w:rFonts w:ascii="Times New Roman" w:hAnsi="Times New Roman" w:cs="Times New Roman"/>
          <w:bCs/>
          <w:sz w:val="24"/>
          <w:szCs w:val="24"/>
        </w:rPr>
      </w:pPr>
      <w:r w:rsidRPr="00336622">
        <w:rPr>
          <w:rFonts w:ascii="Times New Roman" w:hAnsi="Times New Roman" w:cs="Times New Roman"/>
          <w:bCs/>
          <w:sz w:val="24"/>
          <w:szCs w:val="24"/>
        </w:rPr>
        <w:t>June 1</w:t>
      </w:r>
      <w:r w:rsidR="002655BE" w:rsidRPr="00336622">
        <w:rPr>
          <w:rFonts w:ascii="Times New Roman" w:hAnsi="Times New Roman" w:cs="Times New Roman"/>
          <w:bCs/>
          <w:sz w:val="24"/>
          <w:szCs w:val="24"/>
        </w:rPr>
        <w:t>7</w:t>
      </w:r>
      <w:r w:rsidRPr="00336622">
        <w:rPr>
          <w:rFonts w:ascii="Times New Roman" w:hAnsi="Times New Roman" w:cs="Times New Roman"/>
          <w:bCs/>
          <w:sz w:val="24"/>
          <w:szCs w:val="24"/>
        </w:rPr>
        <w:t>, 2026</w:t>
      </w:r>
    </w:p>
    <w:p w14:paraId="73A3C65C" w14:textId="10775E69" w:rsidR="00DC204F" w:rsidRPr="00336622" w:rsidRDefault="00DC204F" w:rsidP="00DC204F">
      <w:pPr>
        <w:rPr>
          <w:bCs/>
          <w:sz w:val="24"/>
          <w:szCs w:val="24"/>
        </w:rPr>
      </w:pPr>
    </w:p>
    <w:p w14:paraId="26666F1F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Autumn R. Agans, Deputy Director</w:t>
      </w:r>
    </w:p>
    <w:p w14:paraId="42C1B1A8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Office of Regulatory Policy</w:t>
      </w:r>
    </w:p>
    <w:p w14:paraId="1BC9591E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Farm Credit Administration</w:t>
      </w:r>
    </w:p>
    <w:p w14:paraId="166C9AA2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1501 Farm Credit Drive</w:t>
      </w:r>
    </w:p>
    <w:p w14:paraId="5F74FE4F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McLean, Virginia 22102-5090</w:t>
      </w:r>
    </w:p>
    <w:p w14:paraId="264D0527" w14:textId="77777777" w:rsidR="00C10A2C" w:rsidRPr="00336622" w:rsidRDefault="00C10A2C" w:rsidP="00C10A2C">
      <w:pPr>
        <w:rPr>
          <w:rFonts w:ascii="Times New Roman" w:hAnsi="Times New Roman" w:cs="Times New Roman"/>
          <w:b/>
          <w:sz w:val="24"/>
          <w:szCs w:val="24"/>
        </w:rPr>
      </w:pPr>
    </w:p>
    <w:p w14:paraId="73CB6495" w14:textId="77777777" w:rsidR="00C10A2C" w:rsidRPr="00336622" w:rsidRDefault="00C10A2C" w:rsidP="00C10A2C">
      <w:pPr>
        <w:rPr>
          <w:rFonts w:ascii="Times New Roman" w:hAnsi="Times New Roman" w:cs="Times New Roman"/>
          <w:b/>
          <w:sz w:val="24"/>
          <w:szCs w:val="24"/>
        </w:rPr>
      </w:pPr>
    </w:p>
    <w:p w14:paraId="5CDEA9E7" w14:textId="77777777" w:rsidR="00C10A2C" w:rsidRPr="00336622" w:rsidRDefault="00C10A2C" w:rsidP="00C10A2C">
      <w:pPr>
        <w:spacing w:after="160" w:line="259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622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Pr="00336622">
        <w:rPr>
          <w:rFonts w:ascii="Times New Roman" w:hAnsi="Times New Roman" w:cs="Times New Roman"/>
          <w:b/>
          <w:sz w:val="24"/>
          <w:szCs w:val="24"/>
        </w:rPr>
        <w:tab/>
        <w:t xml:space="preserve">Response to Proposed Rule &amp; Request for Comment – </w:t>
      </w:r>
      <w:r w:rsidRPr="00336622">
        <w:rPr>
          <w:rFonts w:ascii="Times New Roman" w:hAnsi="Times New Roman" w:cs="Times New Roman"/>
          <w:b/>
          <w:i/>
          <w:iCs/>
          <w:sz w:val="24"/>
          <w:szCs w:val="24"/>
        </w:rPr>
        <w:t>Assessment and Apportionment of Administrative Expenses</w:t>
      </w:r>
      <w:r w:rsidRPr="00336622">
        <w:rPr>
          <w:rFonts w:ascii="Times New Roman" w:hAnsi="Times New Roman" w:cs="Times New Roman"/>
          <w:b/>
          <w:sz w:val="24"/>
          <w:szCs w:val="24"/>
        </w:rPr>
        <w:t>, 12 CFR Part 607</w:t>
      </w:r>
    </w:p>
    <w:p w14:paraId="6528F3D5" w14:textId="77777777" w:rsidR="00C10A2C" w:rsidRPr="00336622" w:rsidRDefault="00C10A2C" w:rsidP="00C10A2C">
      <w:pPr>
        <w:rPr>
          <w:rFonts w:ascii="Times New Roman" w:hAnsi="Times New Roman" w:cs="Times New Roman"/>
          <w:sz w:val="24"/>
          <w:szCs w:val="24"/>
        </w:rPr>
      </w:pPr>
    </w:p>
    <w:p w14:paraId="1D05E647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b/>
          <w:bCs/>
          <w:sz w:val="24"/>
          <w:szCs w:val="24"/>
        </w:rPr>
        <w:t>Dear Ms. Agans:</w:t>
      </w:r>
    </w:p>
    <w:p w14:paraId="065FF887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 xml:space="preserve">Puerto Rico Farm Credit (“PRFC”) appreciates the opportunity to comment on the Farm Credit Administration’s (“FCA”) proposed rule on </w:t>
      </w:r>
      <w:r w:rsidRPr="00336622">
        <w:rPr>
          <w:rFonts w:ascii="Times New Roman" w:hAnsi="Times New Roman" w:cs="Times New Roman"/>
          <w:i/>
          <w:iCs/>
          <w:sz w:val="24"/>
          <w:szCs w:val="24"/>
        </w:rPr>
        <w:t>Assessment and Apportionment of Administrative Expenses</w:t>
      </w:r>
      <w:r w:rsidRPr="00336622">
        <w:rPr>
          <w:rFonts w:ascii="Times New Roman" w:hAnsi="Times New Roman" w:cs="Times New Roman"/>
          <w:sz w:val="24"/>
          <w:szCs w:val="24"/>
        </w:rPr>
        <w:t xml:space="preserve">, published in the </w:t>
      </w:r>
      <w:r w:rsidRPr="00336622">
        <w:rPr>
          <w:rFonts w:ascii="Times New Roman" w:hAnsi="Times New Roman" w:cs="Times New Roman"/>
          <w:i/>
          <w:iCs/>
          <w:sz w:val="24"/>
          <w:szCs w:val="24"/>
        </w:rPr>
        <w:t>Federal Register</w:t>
      </w:r>
      <w:r w:rsidRPr="00336622">
        <w:rPr>
          <w:rFonts w:ascii="Times New Roman" w:hAnsi="Times New Roman" w:cs="Times New Roman"/>
          <w:sz w:val="24"/>
          <w:szCs w:val="24"/>
        </w:rPr>
        <w:t xml:space="preserve"> on April 23, 2026 (the “Proposed Rule”). The Proposed Rule would revise the formula used to apportion FCA administrative expenses among System banks and associations.</w:t>
      </w:r>
    </w:p>
    <w:p w14:paraId="2ACE1881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The Farm Credit Council (“FCC”) has submitted a separate comment letter on behalf of the Farm Credit System, reflecting principles developed through a System workgroup that included representatives from each System bank and associations of varying sizes.</w:t>
      </w:r>
    </w:p>
    <w:p w14:paraId="3F8ECEF3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 xml:space="preserve">PRFC strongly supports the Proposed Rule, which is both necessary and appropriate </w:t>
      </w:r>
      <w:proofErr w:type="gramStart"/>
      <w:r w:rsidRPr="00336622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Pr="00336622">
        <w:rPr>
          <w:rFonts w:ascii="Times New Roman" w:hAnsi="Times New Roman" w:cs="Times New Roman"/>
          <w:sz w:val="24"/>
          <w:szCs w:val="24"/>
        </w:rPr>
        <w:t xml:space="preserve"> the significant changes that have occurred within the Farm Credit System since the current assessment formula was implemented in 1993. For many years, smaller and mid-sized associations have borne a growing and disproportionate share of total assessments relative to their size. The Proposed Rule would reasonably restore the assessment formula to a proportional balance similar to that which existed in 1993, correcting longstanding disparities and improving overall equity in the allocation of assessments.</w:t>
      </w:r>
    </w:p>
    <w:p w14:paraId="64A6220F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PRFC commends FCA for its thorough and thoughtful evaluation of its assessment methodology and for advancing a proposal that aligns with the Act’s requirement that assessments be apportioned fairly and equitably. PRFC respectfully encourages FCA to adopt the Proposed Rule as issued.</w:t>
      </w:r>
    </w:p>
    <w:p w14:paraId="547574DC" w14:textId="7777777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Thank you for the opportunity to provide these comments.</w:t>
      </w:r>
    </w:p>
    <w:p w14:paraId="39110CD7" w14:textId="530E2CB7" w:rsidR="00336622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b/>
          <w:bCs/>
          <w:sz w:val="24"/>
          <w:szCs w:val="24"/>
        </w:rPr>
        <w:t>Respectfully,</w:t>
      </w:r>
    </w:p>
    <w:p w14:paraId="63A93721" w14:textId="0EEFE5D4" w:rsidR="00B96C5A" w:rsidRPr="00336622" w:rsidRDefault="00336622" w:rsidP="00336622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336622">
        <w:rPr>
          <w:rFonts w:ascii="Times New Roman" w:hAnsi="Times New Roman" w:cs="Times New Roman"/>
          <w:sz w:val="24"/>
          <w:szCs w:val="24"/>
        </w:rPr>
        <w:t>Hampton Jordan</w:t>
      </w:r>
      <w:r w:rsidRPr="00336622">
        <w:rPr>
          <w:rFonts w:ascii="Times New Roman" w:hAnsi="Times New Roman" w:cs="Times New Roman"/>
          <w:sz w:val="24"/>
          <w:szCs w:val="24"/>
        </w:rPr>
        <w:br/>
        <w:t>Interim Chief Executive Officer</w:t>
      </w:r>
      <w:r w:rsidRPr="00336622">
        <w:rPr>
          <w:rFonts w:ascii="Times New Roman" w:hAnsi="Times New Roman" w:cs="Times New Roman"/>
          <w:sz w:val="24"/>
          <w:szCs w:val="24"/>
        </w:rPr>
        <w:br/>
        <w:t>Puerto Rico Farm Credit</w:t>
      </w:r>
    </w:p>
    <w:sectPr w:rsidR="00B96C5A" w:rsidRPr="00336622" w:rsidSect="00BB5BC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DBD5" w14:textId="77777777" w:rsidR="00BE7F37" w:rsidRDefault="00BE7F37" w:rsidP="000D2788">
      <w:r>
        <w:separator/>
      </w:r>
    </w:p>
  </w:endnote>
  <w:endnote w:type="continuationSeparator" w:id="0">
    <w:p w14:paraId="4C57514B" w14:textId="77777777" w:rsidR="00BE7F37" w:rsidRDefault="00BE7F37" w:rsidP="000D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4DCD" w14:textId="77777777" w:rsidR="00BE7F37" w:rsidRDefault="00BE7F37" w:rsidP="000D2788">
      <w:r>
        <w:separator/>
      </w:r>
    </w:p>
  </w:footnote>
  <w:footnote w:type="continuationSeparator" w:id="0">
    <w:p w14:paraId="445F5D41" w14:textId="77777777" w:rsidR="00BE7F37" w:rsidRDefault="00BE7F37" w:rsidP="000D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25D6" w14:textId="21BA9789" w:rsidR="000D2788" w:rsidRPr="000C14A1" w:rsidRDefault="002655BE" w:rsidP="000D2788">
    <w:pPr>
      <w:rPr>
        <w:rFonts w:ascii="Aptos" w:eastAsia="Times New Roman" w:hAnsi="Aptos" w:cs="Aptos"/>
        <w:kern w:val="0"/>
        <w:sz w:val="24"/>
        <w:szCs w:val="24"/>
        <w14:ligatures w14:val="none"/>
      </w:rPr>
    </w:pPr>
    <w:r w:rsidRPr="00612E71">
      <w:rPr>
        <w:rFonts w:ascii="Arial" w:hAnsi="Arial" w:cs="Arial"/>
        <w:noProof/>
        <w:sz w:val="10"/>
      </w:rPr>
      <w:drawing>
        <wp:anchor distT="0" distB="0" distL="114300" distR="114300" simplePos="0" relativeHeight="251659264" behindDoc="1" locked="0" layoutInCell="1" allowOverlap="1" wp14:anchorId="0E541473" wp14:editId="4AA143A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190750" cy="581025"/>
          <wp:effectExtent l="0" t="0" r="0" b="0"/>
          <wp:wrapNone/>
          <wp:docPr id="1354823570" name="Picture 135482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2784E" w14:textId="77777777" w:rsidR="000D2788" w:rsidRDefault="000D2788" w:rsidP="000D2788">
    <w:pPr>
      <w:rPr>
        <w:bCs/>
        <w:sz w:val="24"/>
        <w:szCs w:val="24"/>
      </w:rPr>
    </w:pPr>
  </w:p>
  <w:p w14:paraId="771296B6" w14:textId="1812A516" w:rsidR="000D2788" w:rsidRDefault="000D2788">
    <w:pPr>
      <w:pStyle w:val="Header"/>
    </w:pPr>
  </w:p>
  <w:p w14:paraId="5BCB3BEE" w14:textId="77777777" w:rsidR="000D2788" w:rsidRDefault="000D2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C4"/>
    <w:rsid w:val="00007B21"/>
    <w:rsid w:val="00024066"/>
    <w:rsid w:val="00064DC3"/>
    <w:rsid w:val="000C14A1"/>
    <w:rsid w:val="000C2A27"/>
    <w:rsid w:val="000D2788"/>
    <w:rsid w:val="000F3BDB"/>
    <w:rsid w:val="000F7FBF"/>
    <w:rsid w:val="00111677"/>
    <w:rsid w:val="001439B2"/>
    <w:rsid w:val="0015371C"/>
    <w:rsid w:val="001540CE"/>
    <w:rsid w:val="00193DFD"/>
    <w:rsid w:val="001B6958"/>
    <w:rsid w:val="001C69C6"/>
    <w:rsid w:val="0022272D"/>
    <w:rsid w:val="002655BE"/>
    <w:rsid w:val="002A3693"/>
    <w:rsid w:val="002B0155"/>
    <w:rsid w:val="002C1B23"/>
    <w:rsid w:val="002E4646"/>
    <w:rsid w:val="002F254D"/>
    <w:rsid w:val="00336622"/>
    <w:rsid w:val="0035216F"/>
    <w:rsid w:val="003600C5"/>
    <w:rsid w:val="003866E3"/>
    <w:rsid w:val="00445704"/>
    <w:rsid w:val="004B7E7F"/>
    <w:rsid w:val="00505AD5"/>
    <w:rsid w:val="0055322A"/>
    <w:rsid w:val="005C153C"/>
    <w:rsid w:val="005D36BE"/>
    <w:rsid w:val="005F7C41"/>
    <w:rsid w:val="00607AB6"/>
    <w:rsid w:val="00621C6E"/>
    <w:rsid w:val="00621CC6"/>
    <w:rsid w:val="00662C7F"/>
    <w:rsid w:val="00724303"/>
    <w:rsid w:val="00730C0A"/>
    <w:rsid w:val="00827A73"/>
    <w:rsid w:val="00841740"/>
    <w:rsid w:val="0084751F"/>
    <w:rsid w:val="00857CA5"/>
    <w:rsid w:val="008628A4"/>
    <w:rsid w:val="00872A92"/>
    <w:rsid w:val="008C2C88"/>
    <w:rsid w:val="00921B3E"/>
    <w:rsid w:val="009562D8"/>
    <w:rsid w:val="00985B40"/>
    <w:rsid w:val="009D2033"/>
    <w:rsid w:val="009D2EEA"/>
    <w:rsid w:val="009E6074"/>
    <w:rsid w:val="009E6794"/>
    <w:rsid w:val="009F5AF1"/>
    <w:rsid w:val="00A246A1"/>
    <w:rsid w:val="00A73608"/>
    <w:rsid w:val="00AF0156"/>
    <w:rsid w:val="00B11820"/>
    <w:rsid w:val="00B872DD"/>
    <w:rsid w:val="00B96C5A"/>
    <w:rsid w:val="00BB5BC4"/>
    <w:rsid w:val="00BE7F37"/>
    <w:rsid w:val="00BF47F7"/>
    <w:rsid w:val="00C10A2C"/>
    <w:rsid w:val="00C30755"/>
    <w:rsid w:val="00C363FF"/>
    <w:rsid w:val="00C47598"/>
    <w:rsid w:val="00CA2151"/>
    <w:rsid w:val="00D36303"/>
    <w:rsid w:val="00D639F0"/>
    <w:rsid w:val="00DA29B0"/>
    <w:rsid w:val="00DC204F"/>
    <w:rsid w:val="00E429CB"/>
    <w:rsid w:val="00F11B4B"/>
    <w:rsid w:val="00F44945"/>
    <w:rsid w:val="00F73F73"/>
    <w:rsid w:val="00FD48A2"/>
    <w:rsid w:val="00FD7C44"/>
    <w:rsid w:val="1C19AA0D"/>
    <w:rsid w:val="2486895E"/>
    <w:rsid w:val="3CB74A02"/>
    <w:rsid w:val="4F419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39AE3"/>
  <w15:chartTrackingRefBased/>
  <w15:docId w15:val="{5813791D-7844-4E1B-9773-E64C3D5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C4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216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52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6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6F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DC20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7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D2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788"/>
    <w:rPr>
      <w:rFonts w:eastAsiaTheme="minorEastAsia"/>
    </w:rPr>
  </w:style>
  <w:style w:type="paragraph" w:styleId="NoSpacing">
    <w:name w:val="No Spacing"/>
    <w:uiPriority w:val="1"/>
    <w:qFormat/>
    <w:rsid w:val="002F254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8696c-450a-46a6-be83-9890955536c4">
      <Terms xmlns="http://schemas.microsoft.com/office/infopath/2007/PartnerControls"/>
    </lcf76f155ced4ddcb4097134ff3c332f>
    <Order0 xmlns="36d8696c-450a-46a6-be83-9890955536c4" xsi:nil="true"/>
    <TaxCatchAll xmlns="739fa224-fa5a-4b53-9165-7511794bd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C876C1F79714E966F3A3326C72F16" ma:contentTypeVersion="19" ma:contentTypeDescription="Create a new document." ma:contentTypeScope="" ma:versionID="00d51f4a87b2054fafd87f5d07079da5">
  <xsd:schema xmlns:xsd="http://www.w3.org/2001/XMLSchema" xmlns:xs="http://www.w3.org/2001/XMLSchema" xmlns:p="http://schemas.microsoft.com/office/2006/metadata/properties" xmlns:ns2="36d8696c-450a-46a6-be83-9890955536c4" xmlns:ns3="739fa224-fa5a-4b53-9165-7511794bd2d6" targetNamespace="http://schemas.microsoft.com/office/2006/metadata/properties" ma:root="true" ma:fieldsID="c30a3c7788092c98e27651552def50fc" ns2:_="" ns3:_="">
    <xsd:import namespace="36d8696c-450a-46a6-be83-9890955536c4"/>
    <xsd:import namespace="739fa224-fa5a-4b53-9165-7511794bd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8696c-450a-46a6-be83-989095553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68510-ff1d-4bdf-889a-fda86ad5b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a224-fa5a-4b53-9165-7511794bd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b1883-0e2d-459f-85b8-bb2c639f9406}" ma:internalName="TaxCatchAll" ma:showField="CatchAllData" ma:web="739fa224-fa5a-4b53-9165-7511794bd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7D67-F4FC-48C6-AF87-05EECE3C9C84}">
  <ds:schemaRefs>
    <ds:schemaRef ds:uri="http://schemas.microsoft.com/office/2006/metadata/properties"/>
    <ds:schemaRef ds:uri="http://schemas.microsoft.com/office/infopath/2007/PartnerControls"/>
    <ds:schemaRef ds:uri="36d8696c-450a-46a6-be83-9890955536c4"/>
    <ds:schemaRef ds:uri="739fa224-fa5a-4b53-9165-7511794bd2d6"/>
  </ds:schemaRefs>
</ds:datastoreItem>
</file>

<file path=customXml/itemProps2.xml><?xml version="1.0" encoding="utf-8"?>
<ds:datastoreItem xmlns:ds="http://schemas.openxmlformats.org/officeDocument/2006/customXml" ds:itemID="{E16D490E-8952-4969-92FD-8AD471C5D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9B984-D2D1-4443-9B1A-30E2000C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8696c-450a-46a6-be83-9890955536c4"/>
    <ds:schemaRef ds:uri="739fa224-fa5a-4b53-9165-7511794bd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8A43E-5D9D-4D14-94D5-62AA199C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Wing, Debbie</dc:creator>
  <cp:keywords/>
  <dc:description/>
  <cp:lastModifiedBy>Jordan, Hampton</cp:lastModifiedBy>
  <cp:revision>3</cp:revision>
  <cp:lastPrinted>2026-04-06T13:47:00Z</cp:lastPrinted>
  <dcterms:created xsi:type="dcterms:W3CDTF">2026-06-17T14:24:00Z</dcterms:created>
  <dcterms:modified xsi:type="dcterms:W3CDTF">2026-06-17T14:28:00Z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0x010100ECFC876C1F79714E966F3A3326C72F16</vt:lpwstr>
  </property>
  <property fmtid="{D5CDD505-2E9C-101B-9397-08002B2CF9AE}" pid="3" name="MediaServiceImageTags">
    <vt:lpwstr/>
  </property>
</Properties>
</file>