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1F4F" w14:textId="0BE20D69" w:rsidR="00767584" w:rsidRDefault="00767584" w:rsidP="00301256">
      <w:pPr>
        <w:spacing w:after="348" w:line="260" w:lineRule="auto"/>
        <w:ind w:left="-5" w:hanging="10"/>
        <w:rPr>
          <w:rFonts w:eastAsia="Roboto" w:cs="Times New Roman"/>
          <w:bCs/>
          <w:color w:val="000000"/>
          <w:kern w:val="2"/>
          <w:szCs w:val="24"/>
          <w14:ligatures w14:val="standardContextual"/>
        </w:rPr>
      </w:pPr>
    </w:p>
    <w:p w14:paraId="1972DC89" w14:textId="77777777" w:rsidR="00767584" w:rsidRDefault="00767584" w:rsidP="00301256">
      <w:pPr>
        <w:spacing w:after="348" w:line="260" w:lineRule="auto"/>
        <w:ind w:left="-5" w:hanging="10"/>
        <w:rPr>
          <w:rFonts w:eastAsia="Roboto" w:cs="Times New Roman"/>
          <w:bCs/>
          <w:color w:val="000000"/>
          <w:kern w:val="2"/>
          <w:szCs w:val="24"/>
          <w14:ligatures w14:val="standardContextual"/>
        </w:rPr>
      </w:pPr>
    </w:p>
    <w:p w14:paraId="50B92B3B" w14:textId="77777777" w:rsidR="00767584" w:rsidRDefault="00767584" w:rsidP="00301256">
      <w:pPr>
        <w:spacing w:after="348" w:line="260" w:lineRule="auto"/>
        <w:ind w:left="-5" w:hanging="10"/>
        <w:rPr>
          <w:rFonts w:eastAsia="Roboto" w:cs="Times New Roman"/>
          <w:bCs/>
          <w:color w:val="000000"/>
          <w:kern w:val="2"/>
          <w:szCs w:val="24"/>
          <w14:ligatures w14:val="standardContextual"/>
        </w:rPr>
      </w:pPr>
    </w:p>
    <w:p w14:paraId="11D4EE76" w14:textId="13C23361" w:rsidR="00301256" w:rsidRPr="00301256" w:rsidRDefault="00301256" w:rsidP="00301256">
      <w:pPr>
        <w:spacing w:after="348" w:line="260" w:lineRule="auto"/>
        <w:ind w:left="-5" w:hanging="10"/>
        <w:rPr>
          <w:rFonts w:eastAsia="Roboto" w:cs="Times New Roman"/>
          <w:bCs/>
          <w:noProof/>
          <w:color w:val="000000"/>
          <w:kern w:val="2"/>
          <w:szCs w:val="24"/>
          <w14:ligatures w14:val="standardContextual"/>
        </w:rPr>
      </w:pPr>
      <w:r w:rsidRPr="00301256">
        <w:rPr>
          <w:rFonts w:eastAsia="Roboto" w:cs="Times New Roman"/>
          <w:bCs/>
          <w:color w:val="000000"/>
          <w:kern w:val="2"/>
          <w:szCs w:val="24"/>
          <w14:ligatures w14:val="standardContextual"/>
        </w:rPr>
        <w:t xml:space="preserve">June </w:t>
      </w:r>
      <w:r w:rsidR="00F43656">
        <w:rPr>
          <w:rFonts w:eastAsia="Roboto" w:cs="Times New Roman"/>
          <w:bCs/>
          <w:color w:val="000000"/>
          <w:kern w:val="2"/>
          <w:szCs w:val="24"/>
          <w14:ligatures w14:val="standardContextual"/>
        </w:rPr>
        <w:t>18</w:t>
      </w:r>
      <w:r w:rsidRPr="00301256">
        <w:rPr>
          <w:rFonts w:eastAsia="Roboto" w:cs="Times New Roman"/>
          <w:bCs/>
          <w:color w:val="000000"/>
          <w:kern w:val="2"/>
          <w:szCs w:val="24"/>
          <w14:ligatures w14:val="standardContextual"/>
        </w:rPr>
        <w:t>, 2026</w:t>
      </w:r>
    </w:p>
    <w:p w14:paraId="30CCE7EE" w14:textId="77777777" w:rsidR="00301256" w:rsidRPr="00301256" w:rsidRDefault="00301256" w:rsidP="00301256">
      <w:pPr>
        <w:spacing w:after="0" w:line="240" w:lineRule="auto"/>
        <w:ind w:left="10" w:hanging="10"/>
        <w:jc w:val="both"/>
        <w:rPr>
          <w:rFonts w:eastAsia="Times New Roman" w:cs="Times New Roman"/>
          <w:kern w:val="2"/>
          <w:szCs w:val="24"/>
          <w14:ligatures w14:val="standardContextual"/>
        </w:rPr>
      </w:pPr>
      <w:r w:rsidRPr="00301256">
        <w:rPr>
          <w:rFonts w:eastAsia="Times New Roman" w:cs="Times New Roman"/>
          <w:kern w:val="2"/>
          <w:szCs w:val="24"/>
          <w14:ligatures w14:val="standardContextual"/>
        </w:rPr>
        <w:t>Autumn R. Agans, Deputy Director</w:t>
      </w:r>
    </w:p>
    <w:p w14:paraId="3FEA5EBE" w14:textId="77777777" w:rsidR="00301256" w:rsidRPr="00301256" w:rsidRDefault="00301256" w:rsidP="00301256">
      <w:pPr>
        <w:spacing w:after="0" w:line="240" w:lineRule="auto"/>
        <w:ind w:left="10" w:hanging="10"/>
        <w:jc w:val="both"/>
        <w:rPr>
          <w:rFonts w:eastAsia="Times New Roman" w:cs="Times New Roman"/>
          <w:kern w:val="2"/>
          <w:szCs w:val="24"/>
          <w14:ligatures w14:val="standardContextual"/>
        </w:rPr>
      </w:pPr>
      <w:r w:rsidRPr="00301256">
        <w:rPr>
          <w:rFonts w:eastAsia="Times New Roman" w:cs="Times New Roman"/>
          <w:kern w:val="2"/>
          <w:szCs w:val="24"/>
          <w14:ligatures w14:val="standardContextual"/>
        </w:rPr>
        <w:t>Office of Regulatory Policy</w:t>
      </w:r>
    </w:p>
    <w:p w14:paraId="1D416B3A" w14:textId="77777777" w:rsidR="00301256" w:rsidRPr="00301256" w:rsidRDefault="00301256" w:rsidP="00301256">
      <w:pPr>
        <w:spacing w:after="0" w:line="240" w:lineRule="auto"/>
        <w:ind w:left="10" w:hanging="10"/>
        <w:jc w:val="both"/>
        <w:rPr>
          <w:rFonts w:eastAsia="Times New Roman" w:cs="Times New Roman"/>
          <w:kern w:val="2"/>
          <w:szCs w:val="24"/>
          <w14:ligatures w14:val="standardContextual"/>
        </w:rPr>
      </w:pPr>
      <w:r w:rsidRPr="00301256">
        <w:rPr>
          <w:rFonts w:eastAsia="Times New Roman" w:cs="Times New Roman"/>
          <w:kern w:val="2"/>
          <w:szCs w:val="24"/>
          <w14:ligatures w14:val="standardContextual"/>
        </w:rPr>
        <w:t>Farm Credit Administration</w:t>
      </w:r>
    </w:p>
    <w:p w14:paraId="71BB5F7E" w14:textId="77777777" w:rsidR="00301256" w:rsidRPr="00301256" w:rsidRDefault="00301256" w:rsidP="00301256">
      <w:pPr>
        <w:spacing w:after="0" w:line="240" w:lineRule="auto"/>
        <w:ind w:left="10" w:hanging="10"/>
        <w:jc w:val="both"/>
        <w:rPr>
          <w:rFonts w:eastAsia="Times New Roman" w:cs="Times New Roman"/>
          <w:kern w:val="2"/>
          <w:szCs w:val="24"/>
          <w14:ligatures w14:val="standardContextual"/>
        </w:rPr>
      </w:pPr>
      <w:r w:rsidRPr="00301256">
        <w:rPr>
          <w:rFonts w:eastAsia="Times New Roman" w:cs="Times New Roman"/>
          <w:kern w:val="2"/>
          <w:szCs w:val="24"/>
          <w14:ligatures w14:val="standardContextual"/>
        </w:rPr>
        <w:t>1501 Farm Credit Drive</w:t>
      </w:r>
    </w:p>
    <w:p w14:paraId="3C4B534B" w14:textId="77777777" w:rsidR="00301256" w:rsidRPr="00301256" w:rsidRDefault="00301256" w:rsidP="00301256">
      <w:pPr>
        <w:spacing w:after="0" w:line="240" w:lineRule="auto"/>
        <w:ind w:left="10" w:hanging="10"/>
        <w:jc w:val="both"/>
        <w:rPr>
          <w:rFonts w:eastAsia="Times New Roman" w:cs="Times New Roman"/>
          <w:kern w:val="2"/>
          <w:szCs w:val="24"/>
          <w14:ligatures w14:val="standardContextual"/>
        </w:rPr>
      </w:pPr>
      <w:r w:rsidRPr="00301256">
        <w:rPr>
          <w:rFonts w:eastAsia="Times New Roman" w:cs="Times New Roman"/>
          <w:kern w:val="2"/>
          <w:szCs w:val="24"/>
          <w14:ligatures w14:val="standardContextual"/>
        </w:rPr>
        <w:t>McLean, Virginia 22102-5090</w:t>
      </w:r>
    </w:p>
    <w:p w14:paraId="30C73B17" w14:textId="77777777" w:rsidR="00301256" w:rsidRPr="00301256" w:rsidRDefault="00301256" w:rsidP="00301256">
      <w:pPr>
        <w:spacing w:after="0" w:line="240" w:lineRule="auto"/>
        <w:ind w:left="10" w:hanging="10"/>
        <w:jc w:val="both"/>
        <w:rPr>
          <w:rFonts w:eastAsia="Times New Roman" w:cs="Times New Roman"/>
          <w:kern w:val="2"/>
          <w:szCs w:val="24"/>
          <w14:ligatures w14:val="standardContextual"/>
        </w:rPr>
      </w:pPr>
    </w:p>
    <w:p w14:paraId="6632A8D6" w14:textId="77777777" w:rsidR="00301256" w:rsidRPr="00301256" w:rsidRDefault="00301256" w:rsidP="00301256">
      <w:pPr>
        <w:spacing w:after="330" w:line="275" w:lineRule="auto"/>
        <w:ind w:left="720" w:hanging="720"/>
        <w:rPr>
          <w:rFonts w:eastAsia="Roboto" w:cs="Times New Roman"/>
          <w:b/>
          <w:bCs/>
          <w:color w:val="1F1F1F"/>
          <w:kern w:val="2"/>
          <w:szCs w:val="24"/>
          <w14:ligatures w14:val="standardContextual"/>
        </w:rPr>
      </w:pPr>
      <w:r w:rsidRPr="00301256">
        <w:rPr>
          <w:rFonts w:eastAsia="Roboto" w:cs="Times New Roman"/>
          <w:b/>
          <w:bCs/>
          <w:color w:val="1F1F1F"/>
          <w:kern w:val="2"/>
          <w:szCs w:val="24"/>
          <w14:ligatures w14:val="standardContextual"/>
        </w:rPr>
        <w:t xml:space="preserve">Re:  </w:t>
      </w:r>
      <w:r w:rsidRPr="00301256">
        <w:rPr>
          <w:rFonts w:eastAsia="Roboto" w:cs="Times New Roman"/>
          <w:b/>
          <w:bCs/>
          <w:color w:val="1F1F1F"/>
          <w:kern w:val="2"/>
          <w:szCs w:val="24"/>
          <w14:ligatures w14:val="standardContextual"/>
        </w:rPr>
        <w:tab/>
        <w:t>Response to Proposed Rule – Assessment and Apportionment of Administrative Expenses</w:t>
      </w:r>
    </w:p>
    <w:p w14:paraId="215D0AEE" w14:textId="2E96A175" w:rsidR="006C39DF" w:rsidRPr="006C39DF" w:rsidRDefault="006C39DF" w:rsidP="006C39DF">
      <w:pPr>
        <w:spacing w:after="240" w:line="240" w:lineRule="auto"/>
        <w:jc w:val="both"/>
        <w:rPr>
          <w:rFonts w:cs="Times New Roman"/>
          <w:szCs w:val="24"/>
        </w:rPr>
      </w:pPr>
      <w:r w:rsidRPr="006C39DF">
        <w:rPr>
          <w:rFonts w:cs="Times New Roman"/>
          <w:szCs w:val="24"/>
        </w:rPr>
        <w:t xml:space="preserve">Dear </w:t>
      </w:r>
      <w:r w:rsidR="00301256">
        <w:rPr>
          <w:rFonts w:cs="Times New Roman"/>
          <w:szCs w:val="24"/>
        </w:rPr>
        <w:t>Ms. Agans:</w:t>
      </w:r>
    </w:p>
    <w:p w14:paraId="5C8B3E34" w14:textId="053BD450" w:rsidR="001F1497" w:rsidRPr="003D6146" w:rsidRDefault="001F5C3E" w:rsidP="001E341E">
      <w:pPr>
        <w:jc w:val="both"/>
        <w:rPr>
          <w:rFonts w:ascii="Garamond" w:hAnsi="Garamond"/>
          <w:sz w:val="25"/>
          <w:szCs w:val="25"/>
        </w:rPr>
      </w:pPr>
      <w:r>
        <w:rPr>
          <w:rFonts w:cs="Times New Roman"/>
        </w:rPr>
        <w:t xml:space="preserve">Central </w:t>
      </w:r>
      <w:r w:rsidR="00EF441F">
        <w:rPr>
          <w:rFonts w:cs="Times New Roman"/>
        </w:rPr>
        <w:t>Texas</w:t>
      </w:r>
      <w:r>
        <w:rPr>
          <w:rFonts w:cs="Times New Roman"/>
        </w:rPr>
        <w:t xml:space="preserve"> </w:t>
      </w:r>
      <w:r w:rsidR="00EF441F">
        <w:rPr>
          <w:rFonts w:cs="Times New Roman"/>
        </w:rPr>
        <w:t>Farm Credit, ACA</w:t>
      </w:r>
      <w:r w:rsidR="006C39DF" w:rsidRPr="006C39DF">
        <w:rPr>
          <w:rFonts w:cs="Times New Roman"/>
        </w:rPr>
        <w:t xml:space="preserve"> </w:t>
      </w:r>
      <w:r w:rsidR="001E341E" w:rsidRPr="001E341E">
        <w:rPr>
          <w:rFonts w:cs="Times New Roman"/>
        </w:rPr>
        <w:t xml:space="preserve">appreciates the opportunity to comment on the Farm Credit Administration’s (the “FCA”) proposed rule on Assessment and Apportionment of Administrative Expenses published in the </w:t>
      </w:r>
      <w:r w:rsidR="001E341E" w:rsidRPr="007B7838">
        <w:rPr>
          <w:rFonts w:cs="Times New Roman"/>
          <w:i/>
          <w:iCs/>
        </w:rPr>
        <w:t xml:space="preserve">Federal Register </w:t>
      </w:r>
      <w:r w:rsidR="001E341E" w:rsidRPr="001E341E">
        <w:rPr>
          <w:rFonts w:cs="Times New Roman"/>
        </w:rPr>
        <w:t>on April 23, 2026 (the “Proposed Rule”).</w:t>
      </w:r>
    </w:p>
    <w:p w14:paraId="576D89D6" w14:textId="60074F6F" w:rsidR="001368B5" w:rsidRDefault="001368B5" w:rsidP="001E341E">
      <w:pPr>
        <w:spacing w:after="240" w:line="240" w:lineRule="auto"/>
        <w:jc w:val="both"/>
        <w:rPr>
          <w:rFonts w:cs="Times New Roman"/>
        </w:rPr>
      </w:pPr>
      <w:r w:rsidRPr="001368B5">
        <w:rPr>
          <w:rFonts w:cs="Times New Roman"/>
        </w:rPr>
        <w:t xml:space="preserve">We support the comment letter submitted by the Farm Credit Council (“FCC”) on behalf of the Farm Credit System (“System”), which reflects broad System support for </w:t>
      </w:r>
      <w:r w:rsidR="00486B4C">
        <w:rPr>
          <w:rFonts w:cs="Times New Roman"/>
        </w:rPr>
        <w:t>key</w:t>
      </w:r>
      <w:r w:rsidRPr="001368B5">
        <w:rPr>
          <w:rFonts w:cs="Times New Roman"/>
        </w:rPr>
        <w:t xml:space="preserve"> principles, including fairness, equity, transparency, and durability in the FCA’s assessment methodology. </w:t>
      </w:r>
      <w:r w:rsidR="00C260F7" w:rsidRPr="00C260F7">
        <w:rPr>
          <w:rFonts w:cs="Times New Roman"/>
        </w:rPr>
        <w:t>These principles, in our view, provide a solid foundation for evaluating potential changes to the current framework.</w:t>
      </w:r>
    </w:p>
    <w:p w14:paraId="2E3D8A3B" w14:textId="56CD8BBA" w:rsidR="001E341E" w:rsidRDefault="00CA741A" w:rsidP="001E341E">
      <w:pPr>
        <w:spacing w:after="240" w:line="240" w:lineRule="auto"/>
        <w:jc w:val="both"/>
        <w:rPr>
          <w:rFonts w:cs="Times New Roman"/>
        </w:rPr>
      </w:pPr>
      <w:r w:rsidRPr="00CA741A">
        <w:rPr>
          <w:rFonts w:cs="Times New Roman"/>
        </w:rPr>
        <w:t>In addition to supporting the FCC’s letter, we share the views expressed by the Farm Credit Bank of Texas</w:t>
      </w:r>
      <w:r>
        <w:rPr>
          <w:rFonts w:cs="Times New Roman"/>
        </w:rPr>
        <w:t xml:space="preserve"> (“FCBT”)</w:t>
      </w:r>
      <w:r w:rsidRPr="00CA741A">
        <w:rPr>
          <w:rFonts w:cs="Times New Roman"/>
        </w:rPr>
        <w:t xml:space="preserve"> in its comment letter and support the Proposed Rule.</w:t>
      </w:r>
      <w:r>
        <w:rPr>
          <w:rFonts w:cs="Times New Roman"/>
        </w:rPr>
        <w:t xml:space="preserve"> </w:t>
      </w:r>
      <w:r w:rsidR="001E341E" w:rsidRPr="001E341E">
        <w:rPr>
          <w:rFonts w:cs="Times New Roman"/>
        </w:rPr>
        <w:t xml:space="preserve">We </w:t>
      </w:r>
      <w:r w:rsidR="00C260F7" w:rsidRPr="00C260F7">
        <w:rPr>
          <w:rFonts w:cs="Times New Roman"/>
        </w:rPr>
        <w:t>believe the Proposed Rule appropriately updates the assessment formula to better reflect the System’s current structure and distribution of assets, while remaining consistent with the framework developed through the negotiated rulemaking process in the early 1990s.</w:t>
      </w:r>
    </w:p>
    <w:p w14:paraId="6A8D85B5" w14:textId="6BD02437" w:rsidR="001368B5" w:rsidRDefault="001368B5" w:rsidP="0096791F">
      <w:pPr>
        <w:spacing w:after="240" w:line="240" w:lineRule="auto"/>
        <w:jc w:val="both"/>
        <w:rPr>
          <w:rFonts w:eastAsia="Georgia" w:cs="Times New Roman"/>
          <w:color w:val="000000"/>
        </w:rPr>
      </w:pPr>
      <w:r w:rsidRPr="001368B5">
        <w:rPr>
          <w:rFonts w:eastAsia="Georgia" w:cs="Times New Roman"/>
          <w:color w:val="000000"/>
        </w:rPr>
        <w:t xml:space="preserve">As </w:t>
      </w:r>
      <w:r w:rsidR="00C260F7">
        <w:rPr>
          <w:rFonts w:eastAsia="Georgia" w:cs="Times New Roman"/>
          <w:color w:val="000000"/>
        </w:rPr>
        <w:t>noted</w:t>
      </w:r>
      <w:r w:rsidRPr="001368B5">
        <w:rPr>
          <w:rFonts w:eastAsia="Georgia" w:cs="Times New Roman"/>
          <w:color w:val="000000"/>
        </w:rPr>
        <w:t xml:space="preserve"> in the Proposed Rule, </w:t>
      </w:r>
      <w:r w:rsidR="00C260F7" w:rsidRPr="00C260F7">
        <w:rPr>
          <w:rFonts w:eastAsia="Georgia" w:cs="Times New Roman"/>
          <w:color w:val="000000"/>
        </w:rPr>
        <w:t xml:space="preserve">the System has changed considerably since the current formula was adopted in 1993. Consolidation has reduced the number of institutions, overall asset size has grown, and that growth has not been uniform across the System. Over time, this has led to outcomes that diverge from the proportional allocation originally intended. </w:t>
      </w:r>
      <w:proofErr w:type="gramStart"/>
      <w:r w:rsidRPr="001368B5">
        <w:rPr>
          <w:rFonts w:eastAsia="Georgia" w:cs="Times New Roman"/>
          <w:color w:val="000000"/>
        </w:rPr>
        <w:t>In particular, smaller</w:t>
      </w:r>
      <w:proofErr w:type="gramEnd"/>
      <w:r w:rsidRPr="001368B5">
        <w:rPr>
          <w:rFonts w:eastAsia="Georgia" w:cs="Times New Roman"/>
          <w:color w:val="000000"/>
        </w:rPr>
        <w:t xml:space="preserve"> and mid-sized institutions now bear a comparatively greater share of the assessment relative to their size.</w:t>
      </w:r>
    </w:p>
    <w:p w14:paraId="1149C736" w14:textId="77777777" w:rsidR="00C260F7" w:rsidRDefault="00C260F7" w:rsidP="001368B5">
      <w:pPr>
        <w:jc w:val="both"/>
        <w:rPr>
          <w:rFonts w:eastAsia="Georgia" w:cs="Times New Roman"/>
          <w:color w:val="000000"/>
          <w:highlight w:val="yellow"/>
        </w:rPr>
      </w:pPr>
      <w:r w:rsidRPr="00C260F7">
        <w:rPr>
          <w:rFonts w:eastAsia="Georgia" w:cs="Times New Roman"/>
          <w:color w:val="000000"/>
        </w:rPr>
        <w:t>The Proposed Rule takes a measured approach to addressing these changes. Rather than replacing the existing structure, it makes targeted adjustments to better align the framework with present-</w:t>
      </w:r>
      <w:r w:rsidRPr="00C260F7">
        <w:rPr>
          <w:rFonts w:eastAsia="Georgia" w:cs="Times New Roman"/>
          <w:color w:val="000000"/>
        </w:rPr>
        <w:lastRenderedPageBreak/>
        <w:t>day conditions. In our view, this is a reasonable and balanced way to improve equity while remaining grounded in the principles underlying the original rulemaking.</w:t>
      </w:r>
      <w:r w:rsidRPr="00C260F7">
        <w:rPr>
          <w:rFonts w:eastAsia="Georgia" w:cs="Times New Roman"/>
          <w:color w:val="000000"/>
          <w:highlight w:val="yellow"/>
        </w:rPr>
        <w:t xml:space="preserve"> </w:t>
      </w:r>
    </w:p>
    <w:p w14:paraId="0A849FBC" w14:textId="0969DCE7" w:rsidR="001368B5" w:rsidRDefault="00767584" w:rsidP="001368B5">
      <w:pPr>
        <w:jc w:val="both"/>
      </w:pPr>
      <w:r>
        <w:t>A</w:t>
      </w:r>
      <w:r w:rsidR="001368B5">
        <w:t xml:space="preserve">ccordingly, </w:t>
      </w:r>
      <w:r w:rsidR="00EF441F">
        <w:t xml:space="preserve">Central Texas Farm Credit, ACA </w:t>
      </w:r>
      <w:r w:rsidR="001368B5">
        <w:t xml:space="preserve">supports </w:t>
      </w:r>
      <w:r w:rsidR="00CA741A">
        <w:t>the</w:t>
      </w:r>
      <w:r w:rsidR="001368B5">
        <w:t xml:space="preserve"> Proposed Rule</w:t>
      </w:r>
      <w:r w:rsidR="00CA741A">
        <w:t xml:space="preserve"> </w:t>
      </w:r>
      <w:r w:rsidR="001368B5">
        <w:t xml:space="preserve">and encourages the FCA to </w:t>
      </w:r>
      <w:r w:rsidR="00CA741A">
        <w:t xml:space="preserve">move forward </w:t>
      </w:r>
      <w:r w:rsidR="00C260F7">
        <w:t>with</w:t>
      </w:r>
      <w:r w:rsidR="00CA741A">
        <w:t xml:space="preserve"> finaliz</w:t>
      </w:r>
      <w:r w:rsidR="00C260F7">
        <w:t>ation</w:t>
      </w:r>
      <w:r w:rsidR="00CA741A">
        <w:t>.</w:t>
      </w:r>
    </w:p>
    <w:p w14:paraId="5D390B92" w14:textId="250881DC" w:rsidR="00CA741A" w:rsidRDefault="00C260F7" w:rsidP="001368B5">
      <w:pPr>
        <w:jc w:val="both"/>
      </w:pPr>
      <w:r w:rsidRPr="00C260F7">
        <w:t>Thank you again for the opportunity to comment. We hope these perspectives, together with those provided by the FCC and FCBT, are helpful as the FCA considers the Proposed Rule.</w:t>
      </w:r>
    </w:p>
    <w:p w14:paraId="10D8D42E" w14:textId="144DF6FB" w:rsidR="00C260F7" w:rsidRDefault="00B40477" w:rsidP="001368B5">
      <w:pPr>
        <w:jc w:val="both"/>
      </w:pPr>
      <w:r>
        <w:rPr>
          <w:rFonts w:cs="Times New Roman"/>
          <w:noProof/>
        </w:rPr>
        <w:drawing>
          <wp:anchor distT="0" distB="0" distL="114300" distR="114300" simplePos="0" relativeHeight="251657216" behindDoc="1" locked="0" layoutInCell="1" allowOverlap="1" wp14:anchorId="1C1DD65E" wp14:editId="50C9A872">
            <wp:simplePos x="0" y="0"/>
            <wp:positionH relativeFrom="column">
              <wp:posOffset>-323850</wp:posOffset>
            </wp:positionH>
            <wp:positionV relativeFrom="paragraph">
              <wp:posOffset>205740</wp:posOffset>
            </wp:positionV>
            <wp:extent cx="1629359" cy="918812"/>
            <wp:effectExtent l="0" t="0" r="0" b="0"/>
            <wp:wrapNone/>
            <wp:docPr id="19514227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22759" name="Picture 1951422759"/>
                    <pic:cNvPicPr/>
                  </pic:nvPicPr>
                  <pic:blipFill>
                    <a:blip r:embed="rId7">
                      <a:extLst>
                        <a:ext uri="{28A0092B-C50C-407E-A947-70E740481C1C}">
                          <a14:useLocalDpi xmlns:a14="http://schemas.microsoft.com/office/drawing/2010/main" val="0"/>
                        </a:ext>
                      </a:extLst>
                    </a:blip>
                    <a:stretch>
                      <a:fillRect/>
                    </a:stretch>
                  </pic:blipFill>
                  <pic:spPr>
                    <a:xfrm>
                      <a:off x="0" y="0"/>
                      <a:ext cx="1629359" cy="918812"/>
                    </a:xfrm>
                    <a:prstGeom prst="rect">
                      <a:avLst/>
                    </a:prstGeom>
                  </pic:spPr>
                </pic:pic>
              </a:graphicData>
            </a:graphic>
            <wp14:sizeRelH relativeFrom="margin">
              <wp14:pctWidth>0</wp14:pctWidth>
            </wp14:sizeRelH>
            <wp14:sizeRelV relativeFrom="margin">
              <wp14:pctHeight>0</wp14:pctHeight>
            </wp14:sizeRelV>
          </wp:anchor>
        </w:drawing>
      </w:r>
    </w:p>
    <w:p w14:paraId="21214BC4" w14:textId="351A6AD5" w:rsidR="006C39DF" w:rsidRDefault="006C39DF" w:rsidP="001368B5">
      <w:pPr>
        <w:jc w:val="both"/>
        <w:rPr>
          <w:rFonts w:cs="Times New Roman"/>
        </w:rPr>
      </w:pPr>
      <w:r w:rsidRPr="006C39DF">
        <w:rPr>
          <w:rFonts w:cs="Times New Roman"/>
        </w:rPr>
        <w:t>Sincerely,</w:t>
      </w:r>
    </w:p>
    <w:p w14:paraId="55B95773" w14:textId="41592785" w:rsidR="006C39DF" w:rsidRDefault="006C39DF" w:rsidP="006C39DF">
      <w:pPr>
        <w:jc w:val="both"/>
        <w:rPr>
          <w:rFonts w:cs="Times New Roman"/>
        </w:rPr>
      </w:pPr>
    </w:p>
    <w:p w14:paraId="511A9770" w14:textId="184F72C1" w:rsidR="00767584" w:rsidRDefault="00B40477" w:rsidP="00767584">
      <w:pPr>
        <w:spacing w:after="0"/>
        <w:jc w:val="both"/>
        <w:rPr>
          <w:rFonts w:cs="Times New Roman"/>
        </w:rPr>
      </w:pPr>
      <w:r>
        <w:rPr>
          <w:rFonts w:cs="Times New Roman"/>
        </w:rPr>
        <w:t>Zach</w:t>
      </w:r>
      <w:r w:rsidR="00767584">
        <w:rPr>
          <w:rFonts w:cs="Times New Roman"/>
        </w:rPr>
        <w:t xml:space="preserve"> May</w:t>
      </w:r>
    </w:p>
    <w:p w14:paraId="62513387" w14:textId="4AE9E102" w:rsidR="00767584" w:rsidRDefault="00767584" w:rsidP="00767584">
      <w:pPr>
        <w:spacing w:after="0"/>
        <w:jc w:val="both"/>
        <w:rPr>
          <w:rFonts w:cs="Times New Roman"/>
        </w:rPr>
      </w:pPr>
      <w:r>
        <w:rPr>
          <w:rFonts w:cs="Times New Roman"/>
        </w:rPr>
        <w:t>Chief Executive Officer</w:t>
      </w:r>
    </w:p>
    <w:sectPr w:rsidR="00767584" w:rsidSect="00767584">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9011" w14:textId="77777777" w:rsidR="0023705F" w:rsidRDefault="0023705F" w:rsidP="00767584">
      <w:pPr>
        <w:spacing w:after="0" w:line="240" w:lineRule="auto"/>
      </w:pPr>
      <w:r>
        <w:separator/>
      </w:r>
    </w:p>
  </w:endnote>
  <w:endnote w:type="continuationSeparator" w:id="0">
    <w:p w14:paraId="68DB428B" w14:textId="77777777" w:rsidR="0023705F" w:rsidRDefault="0023705F" w:rsidP="00767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136C" w14:textId="77777777" w:rsidR="0023705F" w:rsidRDefault="0023705F" w:rsidP="00767584">
      <w:pPr>
        <w:spacing w:after="0" w:line="240" w:lineRule="auto"/>
      </w:pPr>
      <w:r>
        <w:separator/>
      </w:r>
    </w:p>
  </w:footnote>
  <w:footnote w:type="continuationSeparator" w:id="0">
    <w:p w14:paraId="0912FBAF" w14:textId="77777777" w:rsidR="0023705F" w:rsidRDefault="0023705F" w:rsidP="00767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ACA2" w14:textId="5615FB5D" w:rsidR="00767584" w:rsidRDefault="00767584">
    <w:pPr>
      <w:pStyle w:val="Header"/>
    </w:pPr>
    <w:r>
      <w:rPr>
        <w:noProof/>
      </w:rPr>
      <w:drawing>
        <wp:anchor distT="0" distB="0" distL="114300" distR="114300" simplePos="0" relativeHeight="251658240" behindDoc="1" locked="0" layoutInCell="1" allowOverlap="1" wp14:anchorId="51C080FA" wp14:editId="621F5B75">
          <wp:simplePos x="0" y="0"/>
          <wp:positionH relativeFrom="page">
            <wp:align>left</wp:align>
          </wp:positionH>
          <wp:positionV relativeFrom="paragraph">
            <wp:posOffset>-457200</wp:posOffset>
          </wp:positionV>
          <wp:extent cx="7795904" cy="18954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TX_LH_2016_Early_header.jpg"/>
                  <pic:cNvPicPr/>
                </pic:nvPicPr>
                <pic:blipFill>
                  <a:blip r:embed="rId1">
                    <a:extLst>
                      <a:ext uri="{28A0092B-C50C-407E-A947-70E740481C1C}">
                        <a14:useLocalDpi xmlns:a14="http://schemas.microsoft.com/office/drawing/2010/main" val="0"/>
                      </a:ext>
                    </a:extLst>
                  </a:blip>
                  <a:stretch>
                    <a:fillRect/>
                  </a:stretch>
                </pic:blipFill>
                <pic:spPr>
                  <a:xfrm>
                    <a:off x="0" y="0"/>
                    <a:ext cx="7795904" cy="1895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21CB6"/>
    <w:multiLevelType w:val="hybridMultilevel"/>
    <w:tmpl w:val="61289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6257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DF"/>
    <w:rsid w:val="00026E8E"/>
    <w:rsid w:val="000942C2"/>
    <w:rsid w:val="000E1A7B"/>
    <w:rsid w:val="001368B5"/>
    <w:rsid w:val="001A63A0"/>
    <w:rsid w:val="001E341E"/>
    <w:rsid w:val="001F1497"/>
    <w:rsid w:val="001F5C3E"/>
    <w:rsid w:val="0023705F"/>
    <w:rsid w:val="00246E07"/>
    <w:rsid w:val="00281B29"/>
    <w:rsid w:val="002A5EEF"/>
    <w:rsid w:val="00301256"/>
    <w:rsid w:val="00326351"/>
    <w:rsid w:val="00344581"/>
    <w:rsid w:val="00347528"/>
    <w:rsid w:val="00386BCC"/>
    <w:rsid w:val="00392AE0"/>
    <w:rsid w:val="003D2C96"/>
    <w:rsid w:val="00401BE9"/>
    <w:rsid w:val="00486B4C"/>
    <w:rsid w:val="00491751"/>
    <w:rsid w:val="004C07C4"/>
    <w:rsid w:val="00511FBF"/>
    <w:rsid w:val="00541531"/>
    <w:rsid w:val="00572ADA"/>
    <w:rsid w:val="005F2A19"/>
    <w:rsid w:val="00647A61"/>
    <w:rsid w:val="00654BEF"/>
    <w:rsid w:val="00671E3C"/>
    <w:rsid w:val="00687C91"/>
    <w:rsid w:val="006C39DF"/>
    <w:rsid w:val="00767584"/>
    <w:rsid w:val="007B7838"/>
    <w:rsid w:val="007D0E82"/>
    <w:rsid w:val="007F00E3"/>
    <w:rsid w:val="008D2E5D"/>
    <w:rsid w:val="00967154"/>
    <w:rsid w:val="0096791F"/>
    <w:rsid w:val="00A120DB"/>
    <w:rsid w:val="00B114BE"/>
    <w:rsid w:val="00B40477"/>
    <w:rsid w:val="00B41543"/>
    <w:rsid w:val="00C260F7"/>
    <w:rsid w:val="00C815FF"/>
    <w:rsid w:val="00CA741A"/>
    <w:rsid w:val="00CB4966"/>
    <w:rsid w:val="00CC5C04"/>
    <w:rsid w:val="00E17FAE"/>
    <w:rsid w:val="00E734F6"/>
    <w:rsid w:val="00EF441F"/>
    <w:rsid w:val="00F43656"/>
    <w:rsid w:val="00FB32BA"/>
    <w:rsid w:val="0DD9C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7163"/>
  <w15:chartTrackingRefBased/>
  <w15:docId w15:val="{80CC2C00-2CEB-4165-B49F-06646ECE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9D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39DF"/>
    <w:rPr>
      <w:sz w:val="16"/>
      <w:szCs w:val="16"/>
    </w:rPr>
  </w:style>
  <w:style w:type="paragraph" w:styleId="CommentText">
    <w:name w:val="annotation text"/>
    <w:basedOn w:val="Normal"/>
    <w:link w:val="CommentTextChar"/>
    <w:uiPriority w:val="99"/>
    <w:unhideWhenUsed/>
    <w:rsid w:val="006C39DF"/>
    <w:pPr>
      <w:spacing w:line="240" w:lineRule="auto"/>
    </w:pPr>
    <w:rPr>
      <w:sz w:val="20"/>
      <w:szCs w:val="20"/>
    </w:rPr>
  </w:style>
  <w:style w:type="character" w:customStyle="1" w:styleId="CommentTextChar">
    <w:name w:val="Comment Text Char"/>
    <w:basedOn w:val="DefaultParagraphFont"/>
    <w:link w:val="CommentText"/>
    <w:uiPriority w:val="99"/>
    <w:rsid w:val="006C39D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C39DF"/>
    <w:rPr>
      <w:b/>
      <w:bCs/>
    </w:rPr>
  </w:style>
  <w:style w:type="character" w:customStyle="1" w:styleId="CommentSubjectChar">
    <w:name w:val="Comment Subject Char"/>
    <w:basedOn w:val="CommentTextChar"/>
    <w:link w:val="CommentSubject"/>
    <w:uiPriority w:val="99"/>
    <w:semiHidden/>
    <w:rsid w:val="006C39DF"/>
    <w:rPr>
      <w:rFonts w:ascii="Times New Roman" w:hAnsi="Times New Roman"/>
      <w:b/>
      <w:bCs/>
      <w:sz w:val="20"/>
      <w:szCs w:val="20"/>
    </w:rPr>
  </w:style>
  <w:style w:type="paragraph" w:styleId="BalloonText">
    <w:name w:val="Balloon Text"/>
    <w:basedOn w:val="Normal"/>
    <w:link w:val="BalloonTextChar"/>
    <w:uiPriority w:val="99"/>
    <w:semiHidden/>
    <w:unhideWhenUsed/>
    <w:rsid w:val="006C3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9DF"/>
    <w:rPr>
      <w:rFonts w:ascii="Segoe UI" w:hAnsi="Segoe UI" w:cs="Segoe UI"/>
      <w:sz w:val="18"/>
      <w:szCs w:val="18"/>
    </w:rPr>
  </w:style>
  <w:style w:type="character" w:customStyle="1" w:styleId="normaltextrun">
    <w:name w:val="normaltextrun"/>
    <w:basedOn w:val="DefaultParagraphFont"/>
    <w:rsid w:val="00671E3C"/>
  </w:style>
  <w:style w:type="paragraph" w:styleId="ListParagraph">
    <w:name w:val="List Paragraph"/>
    <w:basedOn w:val="Normal"/>
    <w:uiPriority w:val="34"/>
    <w:qFormat/>
    <w:rsid w:val="00E17FAE"/>
    <w:pPr>
      <w:ind w:left="720"/>
      <w:contextualSpacing/>
    </w:pPr>
  </w:style>
  <w:style w:type="paragraph" w:styleId="Header">
    <w:name w:val="header"/>
    <w:basedOn w:val="Normal"/>
    <w:link w:val="HeaderChar"/>
    <w:uiPriority w:val="99"/>
    <w:unhideWhenUsed/>
    <w:rsid w:val="00767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584"/>
    <w:rPr>
      <w:rFonts w:ascii="Times New Roman" w:hAnsi="Times New Roman"/>
      <w:sz w:val="24"/>
    </w:rPr>
  </w:style>
  <w:style w:type="paragraph" w:styleId="Footer">
    <w:name w:val="footer"/>
    <w:basedOn w:val="Normal"/>
    <w:link w:val="FooterChar"/>
    <w:uiPriority w:val="99"/>
    <w:unhideWhenUsed/>
    <w:rsid w:val="00767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58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5CD123-9AE1-4FEE-93F4-EEBAFE275F91}"/>
</file>

<file path=customXml/itemProps2.xml><?xml version="1.0" encoding="utf-8"?>
<ds:datastoreItem xmlns:ds="http://schemas.openxmlformats.org/officeDocument/2006/customXml" ds:itemID="{9A44E6FB-565A-4C25-BC6E-5D7F802EE31B}"/>
</file>

<file path=customXml/itemProps3.xml><?xml version="1.0" encoding="utf-8"?>
<ds:datastoreItem xmlns:ds="http://schemas.openxmlformats.org/officeDocument/2006/customXml" ds:itemID="{757A2F24-7CD8-41B4-8E6F-59CE9309EB7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2176</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Fuller</dc:creator>
  <cp:keywords/>
  <dc:description/>
  <cp:lastModifiedBy>Jennifer Hartman</cp:lastModifiedBy>
  <cp:revision>2</cp:revision>
  <cp:lastPrinted>2026-06-18T23:17:00Z</cp:lastPrinted>
  <dcterms:created xsi:type="dcterms:W3CDTF">2026-06-22T13:21:00Z</dcterms:created>
  <dcterms:modified xsi:type="dcterms:W3CDTF">2026-06-22T13:21:00Z</dcterms:modified>
</cp:coreProperties>
</file>